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三亚市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年中小学青年教师教学竞赛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教学设计评分细则</w:t>
      </w:r>
    </w:p>
    <w:p>
      <w:pPr>
        <w:spacing w:after="324" w:afterLines="100" w:line="600" w:lineRule="exact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（满分20分）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6693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6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评价要点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118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方案</w:t>
            </w:r>
          </w:p>
        </w:tc>
        <w:tc>
          <w:tcPr>
            <w:tcW w:w="6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符合课程标准要求，体现课程特征、反映课程前沿，体现立德树人宗旨。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6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教学指导思想科学、理念先进。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6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教学目标明确、思路清晰。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6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教学内容充实，准确把握重点和难点，针对性强。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6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教学进程组织合理，方法手段运用适切，教学活动恰当。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6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文字表达准确、简洁、规范，要点阐述清楚。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84BD0"/>
    <w:rsid w:val="21E8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ascii="仿宋_GB2312" w:hAnsi="Times New Roman" w:eastAsia="仿宋_GB2312"/>
      <w:color w:val="000000"/>
      <w:sz w:val="32"/>
    </w:rPr>
  </w:style>
  <w:style w:type="paragraph" w:styleId="4">
    <w:name w:val="Normal Indent"/>
    <w:basedOn w:val="1"/>
    <w:next w:val="1"/>
    <w:unhideWhenUsed/>
    <w:qFormat/>
    <w:uiPriority w:val="99"/>
    <w:pPr>
      <w:ind w:firstLine="420"/>
    </w:pPr>
  </w:style>
  <w:style w:type="paragraph" w:styleId="5">
    <w:name w:val="Body Text"/>
    <w:basedOn w:val="1"/>
    <w:unhideWhenUsed/>
    <w:qFormat/>
    <w:uiPriority w:val="99"/>
    <w:pPr>
      <w:autoSpaceDE w:val="0"/>
      <w:autoSpaceDN w:val="0"/>
      <w:jc w:val="left"/>
    </w:pPr>
    <w:rPr>
      <w:rFonts w:ascii="宋体" w:hAnsi="宋体" w:cs="宋体"/>
      <w:kern w:val="0"/>
      <w:sz w:val="32"/>
      <w:szCs w:val="32"/>
      <w:lang w:eastAsia="en-US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  <w:rPr>
      <w:rFonts w:ascii="仿宋_GB2312" w:hAnsi="仿宋_GB2312" w:eastAsia="仿宋_GB2312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2025-01-02T10:02:00Z</dcterms:created>
  <dc:creator>紫气东来</dc:creator>
  <cp:lastModifiedBy>紫气东来</cp:lastModifiedBy>
  <dcterms:modified xsi:type="dcterms:W3CDTF">2025-01-02T10:02:47Z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