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14" w:tblpY="2868"/>
        <w:tblOverlap w:val="never"/>
        <w:tblW w:w="85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2203"/>
        <w:gridCol w:w="3044"/>
        <w:gridCol w:w="1722"/>
      </w:tblGrid>
      <w:tr w14:paraId="321020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1605" w:type="dxa"/>
          </w:tcPr>
          <w:p w14:paraId="461F5B02">
            <w:pPr>
              <w:pStyle w:val="4"/>
              <w:spacing w:before="122"/>
              <w:ind w:left="113"/>
              <w:jc w:val="center"/>
              <w:rPr>
                <w:sz w:val="32"/>
              </w:rPr>
            </w:pPr>
            <w:r>
              <w:rPr>
                <w:sz w:val="32"/>
              </w:rPr>
              <w:t>日期</w:t>
            </w:r>
          </w:p>
        </w:tc>
        <w:tc>
          <w:tcPr>
            <w:tcW w:w="2203" w:type="dxa"/>
          </w:tcPr>
          <w:p w14:paraId="31F4E8AA">
            <w:pPr>
              <w:pStyle w:val="4"/>
              <w:spacing w:before="122"/>
              <w:ind w:left="813" w:right="700"/>
              <w:jc w:val="left"/>
              <w:rPr>
                <w:sz w:val="32"/>
              </w:rPr>
            </w:pPr>
            <w:r>
              <w:rPr>
                <w:sz w:val="32"/>
              </w:rPr>
              <w:t>时间</w:t>
            </w:r>
          </w:p>
        </w:tc>
        <w:tc>
          <w:tcPr>
            <w:tcW w:w="3044" w:type="dxa"/>
          </w:tcPr>
          <w:p w14:paraId="0F4C291F">
            <w:pPr>
              <w:pStyle w:val="4"/>
              <w:spacing w:before="122"/>
              <w:ind w:left="111"/>
              <w:jc w:val="center"/>
              <w:rPr>
                <w:sz w:val="32"/>
              </w:rPr>
            </w:pPr>
            <w:r>
              <w:rPr>
                <w:sz w:val="32"/>
              </w:rPr>
              <w:t>研修内容</w:t>
            </w:r>
          </w:p>
        </w:tc>
        <w:tc>
          <w:tcPr>
            <w:tcW w:w="1722" w:type="dxa"/>
          </w:tcPr>
          <w:p w14:paraId="753888B6">
            <w:pPr>
              <w:pStyle w:val="4"/>
              <w:spacing w:before="52" w:line="480" w:lineRule="atLeast"/>
              <w:ind w:left="113"/>
              <w:jc w:val="center"/>
              <w:rPr>
                <w:sz w:val="32"/>
              </w:rPr>
            </w:pPr>
            <w:r>
              <w:rPr>
                <w:sz w:val="32"/>
              </w:rPr>
              <w:t>负责人／ 主讲人</w:t>
            </w:r>
          </w:p>
        </w:tc>
      </w:tr>
      <w:tr w14:paraId="36697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605" w:type="dxa"/>
            <w:vMerge w:val="restart"/>
            <w:tcBorders>
              <w:top w:val="single" w:color="auto" w:sz="4" w:space="0"/>
            </w:tcBorders>
          </w:tcPr>
          <w:p w14:paraId="40490CA8">
            <w:pPr>
              <w:jc w:val="left"/>
              <w:rPr>
                <w:sz w:val="2"/>
                <w:szCs w:val="2"/>
              </w:rPr>
            </w:pPr>
          </w:p>
          <w:p w14:paraId="5041CD93"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 w14:paraId="4B8DA08A"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 w14:paraId="7A9443D2">
            <w:pPr>
              <w:bidi w:val="0"/>
              <w:jc w:val="center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仿宋_GB2312"/>
                <w:sz w:val="32"/>
                <w:szCs w:val="32"/>
                <w:lang w:val="en-US" w:eastAsia="zh-CN" w:bidi="zh-CN"/>
              </w:rPr>
              <w:t>10月10日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vAlign w:val="top"/>
          </w:tcPr>
          <w:p w14:paraId="10D5010D">
            <w:pPr>
              <w:pStyle w:val="4"/>
              <w:spacing w:before="174"/>
              <w:ind w:left="111" w:leftChars="0" w:right="-15" w:rightChars="0" w:firstLine="320" w:firstLineChars="100"/>
              <w:jc w:val="left"/>
              <w:rPr>
                <w:rFonts w:hint="default" w:ascii="仿宋_GB2312" w:hAnsi="仿宋_GB2312" w:eastAsia="仿宋_GB2312" w:cs="仿宋_GB2312"/>
                <w:sz w:val="32"/>
                <w:szCs w:val="22"/>
                <w:lang w:val="en-US" w:eastAsia="zh-CN" w:bidi="zh-CN"/>
              </w:rPr>
            </w:pPr>
            <w:r>
              <w:rPr>
                <w:rFonts w:hint="eastAsia"/>
                <w:sz w:val="32"/>
                <w:lang w:val="en-US" w:eastAsia="zh-CN"/>
              </w:rPr>
              <w:t>8</w:t>
            </w:r>
            <w:r>
              <w:rPr>
                <w:sz w:val="32"/>
              </w:rPr>
              <w:t>:</w:t>
            </w:r>
            <w:r>
              <w:rPr>
                <w:rFonts w:hint="eastAsia"/>
                <w:sz w:val="32"/>
                <w:lang w:val="en-US" w:eastAsia="zh-CN"/>
              </w:rPr>
              <w:t>30</w:t>
            </w:r>
            <w:r>
              <w:rPr>
                <w:sz w:val="32"/>
              </w:rPr>
              <w:t>—</w:t>
            </w:r>
            <w:r>
              <w:rPr>
                <w:rFonts w:hint="eastAsia"/>
                <w:sz w:val="32"/>
                <w:lang w:val="en-US" w:eastAsia="zh-CN"/>
              </w:rPr>
              <w:t>8：50</w:t>
            </w:r>
          </w:p>
        </w:tc>
        <w:tc>
          <w:tcPr>
            <w:tcW w:w="3044" w:type="dxa"/>
            <w:tcBorders>
              <w:bottom w:val="single" w:color="auto" w:sz="4" w:space="0"/>
            </w:tcBorders>
            <w:vAlign w:val="top"/>
          </w:tcPr>
          <w:p w14:paraId="3B0E7205">
            <w:pPr>
              <w:pStyle w:val="4"/>
              <w:spacing w:before="104" w:line="480" w:lineRule="atLeast"/>
              <w:ind w:left="111" w:leftChars="0" w:right="1" w:rightChars="0"/>
              <w:jc w:val="center"/>
              <w:rPr>
                <w:rFonts w:hint="default" w:ascii="仿宋_GB2312" w:hAnsi="仿宋_GB2312" w:eastAsia="仿宋_GB2312" w:cs="仿宋_GB2312"/>
                <w:sz w:val="32"/>
                <w:szCs w:val="22"/>
                <w:lang w:val="en-US" w:eastAsia="zh-CN" w:bidi="zh-CN"/>
              </w:rPr>
            </w:pPr>
            <w:r>
              <w:rPr>
                <w:rFonts w:hint="eastAsia" w:cs="仿宋_GB2312"/>
                <w:sz w:val="32"/>
                <w:szCs w:val="22"/>
                <w:lang w:val="en-US" w:eastAsia="zh-CN" w:bidi="zh-CN"/>
              </w:rPr>
              <w:t>签到</w:t>
            </w:r>
          </w:p>
        </w:tc>
        <w:tc>
          <w:tcPr>
            <w:tcW w:w="1722" w:type="dxa"/>
            <w:tcBorders>
              <w:bottom w:val="single" w:color="auto" w:sz="4" w:space="0"/>
            </w:tcBorders>
            <w:vAlign w:val="top"/>
          </w:tcPr>
          <w:p w14:paraId="0F3DFC44">
            <w:pPr>
              <w:pStyle w:val="4"/>
              <w:spacing w:before="174"/>
              <w:ind w:left="0" w:leftChars="0" w:right="471" w:rightChars="0"/>
              <w:jc w:val="center"/>
              <w:rPr>
                <w:rFonts w:hint="default" w:cs="仿宋_GB231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cs="仿宋_GB2312"/>
                <w:sz w:val="32"/>
                <w:szCs w:val="32"/>
                <w:lang w:val="en-US" w:eastAsia="zh-CN" w:bidi="zh-CN"/>
              </w:rPr>
              <w:t>曾招琦</w:t>
            </w:r>
          </w:p>
        </w:tc>
      </w:tr>
      <w:tr w14:paraId="1A955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1605" w:type="dxa"/>
            <w:vMerge w:val="continue"/>
          </w:tcPr>
          <w:p w14:paraId="43D68E30"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  <w:tcBorders>
              <w:top w:val="single" w:color="auto" w:sz="4" w:space="0"/>
            </w:tcBorders>
            <w:vAlign w:val="top"/>
          </w:tcPr>
          <w:p w14:paraId="540F8A1E">
            <w:pPr>
              <w:pStyle w:val="4"/>
              <w:spacing w:before="174"/>
              <w:ind w:right="-15" w:rightChars="0"/>
              <w:jc w:val="left"/>
              <w:rPr>
                <w:rFonts w:hint="default" w:ascii="仿宋_GB2312" w:hAnsi="仿宋_GB2312" w:eastAsia="仿宋_GB2312" w:cs="仿宋_GB2312"/>
                <w:sz w:val="32"/>
                <w:szCs w:val="22"/>
                <w:lang w:val="en-US" w:eastAsia="zh-CN" w:bidi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9</w:t>
            </w:r>
            <w:r>
              <w:rPr>
                <w:spacing w:val="-14"/>
                <w:sz w:val="32"/>
              </w:rPr>
              <w:t>：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0</w:t>
            </w:r>
            <w:r>
              <w:rPr>
                <w:spacing w:val="-14"/>
                <w:sz w:val="32"/>
              </w:rPr>
              <w:t>0—1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2</w:t>
            </w:r>
            <w:r>
              <w:rPr>
                <w:spacing w:val="-14"/>
                <w:sz w:val="32"/>
              </w:rPr>
              <w:t>：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0</w:t>
            </w:r>
            <w:r>
              <w:rPr>
                <w:spacing w:val="-14"/>
                <w:sz w:val="32"/>
              </w:rPr>
              <w:t>0</w:t>
            </w:r>
          </w:p>
        </w:tc>
        <w:tc>
          <w:tcPr>
            <w:tcW w:w="3044" w:type="dxa"/>
            <w:tcBorders>
              <w:top w:val="single" w:color="auto" w:sz="4" w:space="0"/>
            </w:tcBorders>
            <w:vAlign w:val="top"/>
          </w:tcPr>
          <w:p w14:paraId="0DC17635">
            <w:pPr>
              <w:pStyle w:val="4"/>
              <w:spacing w:before="174" w:line="280" w:lineRule="auto"/>
              <w:ind w:left="111" w:leftChars="0" w:right="1" w:rightChars="0"/>
              <w:jc w:val="center"/>
              <w:rPr>
                <w:rFonts w:hint="default" w:ascii="仿宋_GB2312" w:hAnsi="仿宋_GB2312" w:eastAsia="仿宋_GB2312" w:cs="仿宋_GB2312"/>
                <w:sz w:val="32"/>
                <w:szCs w:val="22"/>
                <w:lang w:val="en-US" w:eastAsia="zh-CN" w:bidi="zh-CN"/>
              </w:rPr>
            </w:pPr>
            <w:r>
              <w:rPr>
                <w:rFonts w:hint="eastAsia"/>
                <w:sz w:val="32"/>
                <w:lang w:val="en-US" w:eastAsia="zh-CN"/>
              </w:rPr>
              <w:t>专题讲座：《倾听儿童，在发现中滋养和成长》</w:t>
            </w:r>
          </w:p>
        </w:tc>
        <w:tc>
          <w:tcPr>
            <w:tcW w:w="1722" w:type="dxa"/>
            <w:tcBorders>
              <w:top w:val="single" w:color="auto" w:sz="4" w:space="0"/>
            </w:tcBorders>
            <w:vAlign w:val="top"/>
          </w:tcPr>
          <w:p w14:paraId="5150BC7A">
            <w:pPr>
              <w:pStyle w:val="4"/>
              <w:spacing w:before="72"/>
              <w:ind w:right="0" w:rightChars="0"/>
              <w:jc w:val="center"/>
              <w:rPr>
                <w:rFonts w:hint="eastAsia"/>
                <w:sz w:val="32"/>
                <w:lang w:val="en-US" w:eastAsia="zh-CN"/>
              </w:rPr>
            </w:pPr>
          </w:p>
          <w:p w14:paraId="55AD40B1">
            <w:pPr>
              <w:pStyle w:val="4"/>
              <w:spacing w:before="72"/>
              <w:ind w:right="0" w:rightChars="0"/>
              <w:jc w:val="center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张连珍</w:t>
            </w:r>
          </w:p>
        </w:tc>
      </w:tr>
      <w:tr w14:paraId="0CB76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1605" w:type="dxa"/>
            <w:vMerge w:val="continue"/>
          </w:tcPr>
          <w:p w14:paraId="466421C7"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</w:tcPr>
          <w:p w14:paraId="2C9A38C5">
            <w:pPr>
              <w:pStyle w:val="4"/>
              <w:spacing w:before="173"/>
              <w:ind w:right="-15"/>
              <w:jc w:val="left"/>
              <w:rPr>
                <w:rFonts w:hint="default" w:eastAsia="仿宋_GB2312"/>
                <w:spacing w:val="-14"/>
                <w:sz w:val="32"/>
                <w:lang w:val="en-US" w:eastAsia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15:00 —17：30</w:t>
            </w:r>
          </w:p>
        </w:tc>
        <w:tc>
          <w:tcPr>
            <w:tcW w:w="3044" w:type="dxa"/>
          </w:tcPr>
          <w:p w14:paraId="0DA8AAB5">
            <w:pPr>
              <w:pStyle w:val="4"/>
              <w:spacing w:before="173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聚焦园本教研研讨交流活动</w:t>
            </w:r>
          </w:p>
        </w:tc>
        <w:tc>
          <w:tcPr>
            <w:tcW w:w="1722" w:type="dxa"/>
          </w:tcPr>
          <w:p w14:paraId="616130AA">
            <w:pPr>
              <w:pStyle w:val="4"/>
              <w:spacing w:before="103" w:line="480" w:lineRule="atLeast"/>
              <w:ind w:right="-29" w:firstLine="320" w:firstLineChars="100"/>
              <w:jc w:val="both"/>
              <w:rPr>
                <w:rFonts w:hint="eastAsia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蒲日芳</w:t>
            </w:r>
          </w:p>
          <w:p w14:paraId="6A68EBFB">
            <w:pPr>
              <w:pStyle w:val="4"/>
              <w:spacing w:before="103" w:line="480" w:lineRule="atLeast"/>
              <w:ind w:right="-29" w:firstLine="320" w:firstLineChars="100"/>
              <w:jc w:val="both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林天真</w:t>
            </w:r>
          </w:p>
        </w:tc>
      </w:tr>
      <w:tr w14:paraId="46E72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1605" w:type="dxa"/>
            <w:vMerge w:val="restart"/>
          </w:tcPr>
          <w:p w14:paraId="373D6444"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 w14:paraId="505388B0"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 w14:paraId="0759733C">
            <w:pPr>
              <w:bidi w:val="0"/>
              <w:jc w:val="left"/>
              <w:rPr>
                <w:rFonts w:hint="default" w:cs="仿宋_GB231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cs="仿宋_GB2312"/>
                <w:sz w:val="32"/>
                <w:szCs w:val="32"/>
                <w:lang w:val="en-US" w:eastAsia="zh-CN" w:bidi="zh-CN"/>
              </w:rPr>
              <w:t>10月11日</w:t>
            </w:r>
          </w:p>
        </w:tc>
        <w:tc>
          <w:tcPr>
            <w:tcW w:w="2203" w:type="dxa"/>
          </w:tcPr>
          <w:p w14:paraId="367DCEC7">
            <w:pPr>
              <w:pStyle w:val="4"/>
              <w:spacing w:before="173"/>
              <w:ind w:left="111" w:right="-15"/>
              <w:jc w:val="left"/>
              <w:rPr>
                <w:rFonts w:hint="eastAsia"/>
                <w:spacing w:val="-14"/>
                <w:sz w:val="32"/>
                <w:lang w:val="en-US" w:eastAsia="zh-CN"/>
              </w:rPr>
            </w:pPr>
          </w:p>
          <w:p w14:paraId="46BACB99">
            <w:pPr>
              <w:pStyle w:val="4"/>
              <w:spacing w:before="173"/>
              <w:ind w:left="111" w:right="-15"/>
              <w:jc w:val="left"/>
              <w:rPr>
                <w:rFonts w:hint="default"/>
                <w:spacing w:val="-14"/>
                <w:sz w:val="32"/>
                <w:lang w:val="en-US" w:eastAsia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9:00 — 12:00</w:t>
            </w:r>
          </w:p>
        </w:tc>
        <w:tc>
          <w:tcPr>
            <w:tcW w:w="3044" w:type="dxa"/>
          </w:tcPr>
          <w:p w14:paraId="56CA696E">
            <w:pPr>
              <w:pStyle w:val="4"/>
              <w:spacing w:before="173" w:line="280" w:lineRule="auto"/>
              <w:ind w:left="111" w:right="1"/>
              <w:jc w:val="center"/>
              <w:rPr>
                <w:rFonts w:hint="eastAsia"/>
                <w:sz w:val="32"/>
                <w:lang w:val="en-US" w:eastAsia="zh-CN"/>
              </w:rPr>
            </w:pPr>
          </w:p>
          <w:p w14:paraId="4FBDFADD">
            <w:pPr>
              <w:pStyle w:val="4"/>
              <w:spacing w:before="173" w:line="280" w:lineRule="auto"/>
              <w:ind w:left="111" w:right="1"/>
              <w:jc w:val="center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园本教研经验分享</w:t>
            </w:r>
          </w:p>
        </w:tc>
        <w:tc>
          <w:tcPr>
            <w:tcW w:w="1722" w:type="dxa"/>
          </w:tcPr>
          <w:p w14:paraId="28C6AC86">
            <w:pPr>
              <w:pStyle w:val="4"/>
              <w:spacing w:before="103" w:line="480" w:lineRule="atLeast"/>
              <w:ind w:left="113" w:right="-29"/>
              <w:jc w:val="center"/>
              <w:rPr>
                <w:rFonts w:hint="eastAsia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周永丽</w:t>
            </w:r>
          </w:p>
          <w:p w14:paraId="115F0285">
            <w:pPr>
              <w:pStyle w:val="4"/>
              <w:spacing w:before="103" w:line="480" w:lineRule="atLeast"/>
              <w:ind w:left="113" w:right="-29"/>
              <w:jc w:val="center"/>
              <w:rPr>
                <w:rFonts w:hint="eastAsia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张雪婷</w:t>
            </w:r>
          </w:p>
          <w:p w14:paraId="732CFF82">
            <w:pPr>
              <w:pStyle w:val="4"/>
              <w:spacing w:before="103" w:line="480" w:lineRule="atLeast"/>
              <w:ind w:left="113" w:right="-29"/>
              <w:jc w:val="center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李静</w:t>
            </w:r>
          </w:p>
        </w:tc>
      </w:tr>
      <w:tr w14:paraId="2C193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1605" w:type="dxa"/>
            <w:vMerge w:val="continue"/>
          </w:tcPr>
          <w:p w14:paraId="34938F39"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</w:tcPr>
          <w:p w14:paraId="33D8F743">
            <w:pPr>
              <w:pStyle w:val="4"/>
              <w:spacing w:before="173"/>
              <w:ind w:left="111" w:right="-15"/>
              <w:jc w:val="left"/>
              <w:rPr>
                <w:rFonts w:hint="default"/>
                <w:spacing w:val="-14"/>
                <w:sz w:val="32"/>
                <w:lang w:val="en-US" w:eastAsia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14:30 — 18:00</w:t>
            </w:r>
          </w:p>
        </w:tc>
        <w:tc>
          <w:tcPr>
            <w:tcW w:w="3044" w:type="dxa"/>
          </w:tcPr>
          <w:p w14:paraId="150259BD">
            <w:pPr>
              <w:pStyle w:val="4"/>
              <w:spacing w:before="173" w:line="280" w:lineRule="auto"/>
              <w:ind w:left="111" w:right="1"/>
              <w:jc w:val="center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专题讲座：《寻求园本教研的突破》</w:t>
            </w:r>
          </w:p>
        </w:tc>
        <w:tc>
          <w:tcPr>
            <w:tcW w:w="1722" w:type="dxa"/>
          </w:tcPr>
          <w:p w14:paraId="42C5B2AF">
            <w:pPr>
              <w:pStyle w:val="4"/>
              <w:spacing w:before="103" w:line="480" w:lineRule="atLeast"/>
              <w:ind w:left="113" w:right="-29"/>
              <w:jc w:val="center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吴海虹</w:t>
            </w:r>
          </w:p>
        </w:tc>
      </w:tr>
    </w:tbl>
    <w:p w14:paraId="76E13028"/>
    <w:p w14:paraId="5224BE5B">
      <w:pPr>
        <w:tabs>
          <w:tab w:val="left" w:pos="1393"/>
        </w:tabs>
        <w:bidi w:val="0"/>
        <w:jc w:val="left"/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ab/>
        <w:t xml:space="preserve">      </w:t>
      </w:r>
      <w:bookmarkStart w:id="0" w:name="_GoBack"/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 xml:space="preserve"> 附件2：研修活动内容安排表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70C22D95"/>
    <w:rsid w:val="70C2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2024-09-26T03:03:00Z</dcterms:created>
  <dc:creator>阿文</dc:creator>
  <cp:lastModifiedBy>阿文</cp:lastModifiedBy>
  <dcterms:modified xsi:type="dcterms:W3CDTF">2024-09-26T03:04:23Z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26E1F7E99EEA4D6E94B0F8111DFFE8BB_11</vt:lpwstr>
  </property>
</Properties>
</file>