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ascii="方正小标宋简体" w:hAnsi="宋体" w:eastAsia="方正小标宋简体" w:cs="宋体"/>
          <w:bCs/>
          <w:color w:val="auto"/>
          <w:spacing w:val="0"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bCs/>
          <w:color w:val="auto"/>
          <w:spacing w:val="0"/>
          <w:kern w:val="0"/>
          <w:sz w:val="36"/>
          <w:szCs w:val="36"/>
          <w:lang w:val="en-US" w:eastAsia="zh-CN"/>
        </w:rPr>
        <w:t>附件：三亚市“十四五”期间中小学幼儿园校本研修工作评估细则</w:t>
      </w:r>
    </w:p>
    <w:tbl>
      <w:tblPr>
        <w:tblStyle w:val="2"/>
        <w:tblW w:w="946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620"/>
        <w:gridCol w:w="3960"/>
        <w:gridCol w:w="1194"/>
        <w:gridCol w:w="786"/>
        <w:gridCol w:w="7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一级指标</w:t>
            </w:r>
          </w:p>
        </w:tc>
        <w:tc>
          <w:tcPr>
            <w:tcW w:w="1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二级指标</w:t>
            </w:r>
          </w:p>
        </w:tc>
        <w:tc>
          <w:tcPr>
            <w:tcW w:w="3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评估细则</w:t>
            </w:r>
          </w:p>
        </w:tc>
        <w:tc>
          <w:tcPr>
            <w:tcW w:w="11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评估方式</w:t>
            </w:r>
          </w:p>
        </w:tc>
        <w:tc>
          <w:tcPr>
            <w:tcW w:w="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分值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评分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组织领导</w:t>
            </w:r>
          </w:p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（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18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分）</w:t>
            </w:r>
          </w:p>
        </w:tc>
        <w:tc>
          <w:tcPr>
            <w:tcW w:w="1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．校长负责</w:t>
            </w:r>
          </w:p>
        </w:tc>
        <w:tc>
          <w:tcPr>
            <w:tcW w:w="3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校长主持校会议研究校本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研修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工作，每学期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次以上（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分）；带头参加学习，参加集中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研修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80%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以上（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分）。</w:t>
            </w:r>
          </w:p>
        </w:tc>
        <w:tc>
          <w:tcPr>
            <w:tcW w:w="11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查资料</w:t>
            </w:r>
          </w:p>
        </w:tc>
        <w:tc>
          <w:tcPr>
            <w:tcW w:w="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Cs w:val="21"/>
              </w:rPr>
              <w:t>5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．机构健全</w:t>
            </w:r>
          </w:p>
        </w:tc>
        <w:tc>
          <w:tcPr>
            <w:tcW w:w="3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成立校本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研修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工作小组。</w:t>
            </w:r>
          </w:p>
        </w:tc>
        <w:tc>
          <w:tcPr>
            <w:tcW w:w="11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查资料</w:t>
            </w:r>
          </w:p>
        </w:tc>
        <w:tc>
          <w:tcPr>
            <w:tcW w:w="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Cs w:val="21"/>
              </w:rPr>
              <w:t>2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Cs w:val="21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．总体规划</w:t>
            </w:r>
          </w:p>
        </w:tc>
        <w:tc>
          <w:tcPr>
            <w:tcW w:w="3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将校本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研修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工作列为学校发展规划和年度计划并作为一个重要组成部分。</w:t>
            </w:r>
          </w:p>
        </w:tc>
        <w:tc>
          <w:tcPr>
            <w:tcW w:w="11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查资料</w:t>
            </w:r>
          </w:p>
        </w:tc>
        <w:tc>
          <w:tcPr>
            <w:tcW w:w="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Cs w:val="21"/>
              </w:rPr>
              <w:t>3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Cs w:val="21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．领导责任制</w:t>
            </w:r>
          </w:p>
        </w:tc>
        <w:tc>
          <w:tcPr>
            <w:tcW w:w="3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主管领导工作负责、扎实（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分）；建立校领导成员的校本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研修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责任制（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分）。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学分管理员工作量按不少于每周1课时计量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分）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。</w:t>
            </w:r>
          </w:p>
        </w:tc>
        <w:tc>
          <w:tcPr>
            <w:tcW w:w="11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座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谈</w:t>
            </w:r>
          </w:p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查档案</w:t>
            </w:r>
          </w:p>
        </w:tc>
        <w:tc>
          <w:tcPr>
            <w:tcW w:w="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Cs w:val="21"/>
              </w:rPr>
              <w:t>4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Cs w:val="21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．落实经费</w:t>
            </w:r>
          </w:p>
        </w:tc>
        <w:tc>
          <w:tcPr>
            <w:tcW w:w="3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教师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研修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经费列入年度预算（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分）；年师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训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经费占教师工资总额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5%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以上（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分）；教师外出培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训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能按规定报销有关费用（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分）。</w:t>
            </w:r>
          </w:p>
        </w:tc>
        <w:tc>
          <w:tcPr>
            <w:tcW w:w="11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查档案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座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谈</w:t>
            </w:r>
          </w:p>
        </w:tc>
        <w:tc>
          <w:tcPr>
            <w:tcW w:w="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Cs w:val="21"/>
              </w:rPr>
              <w:t>4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研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修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条件</w:t>
            </w:r>
          </w:p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分）</w:t>
            </w:r>
          </w:p>
        </w:tc>
        <w:tc>
          <w:tcPr>
            <w:tcW w:w="1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．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研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修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基地</w:t>
            </w:r>
          </w:p>
        </w:tc>
        <w:tc>
          <w:tcPr>
            <w:tcW w:w="3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有一个能供教师集中学习的学习室。</w:t>
            </w:r>
          </w:p>
        </w:tc>
        <w:tc>
          <w:tcPr>
            <w:tcW w:w="11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实地查看</w:t>
            </w:r>
          </w:p>
        </w:tc>
        <w:tc>
          <w:tcPr>
            <w:tcW w:w="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Cs w:val="21"/>
              </w:rPr>
              <w:t>2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．指导教师</w:t>
            </w:r>
          </w:p>
        </w:tc>
        <w:tc>
          <w:tcPr>
            <w:tcW w:w="3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按标准配备指导教师（教师在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50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名以上的学校配备不少于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8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名，其他不少于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人），其中外聘教师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50%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以上。</w:t>
            </w:r>
          </w:p>
        </w:tc>
        <w:tc>
          <w:tcPr>
            <w:tcW w:w="11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查资料</w:t>
            </w:r>
          </w:p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座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谈</w:t>
            </w:r>
          </w:p>
        </w:tc>
        <w:tc>
          <w:tcPr>
            <w:tcW w:w="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Calibri" w:eastAsia="宋体" w:cs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研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修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管理</w:t>
            </w:r>
          </w:p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（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分）</w:t>
            </w:r>
          </w:p>
        </w:tc>
        <w:tc>
          <w:tcPr>
            <w:tcW w:w="1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．规划制定</w:t>
            </w:r>
          </w:p>
        </w:tc>
        <w:tc>
          <w:tcPr>
            <w:tcW w:w="3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有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研修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总体规划（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分）；有年度计划和月活动安排（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分）；教师人人有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研修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计划（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分）。</w:t>
            </w:r>
          </w:p>
        </w:tc>
        <w:tc>
          <w:tcPr>
            <w:tcW w:w="11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查资料</w:t>
            </w:r>
          </w:p>
        </w:tc>
        <w:tc>
          <w:tcPr>
            <w:tcW w:w="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Calibri" w:eastAsia="宋体" w:cs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．制度健全</w:t>
            </w:r>
          </w:p>
        </w:tc>
        <w:tc>
          <w:tcPr>
            <w:tcW w:w="3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有学习考勤考核制度（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分）；有学时公示制度（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分）；有奖惩制度（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分）。</w:t>
            </w:r>
          </w:p>
        </w:tc>
        <w:tc>
          <w:tcPr>
            <w:tcW w:w="11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查资料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座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谈</w:t>
            </w:r>
          </w:p>
        </w:tc>
        <w:tc>
          <w:tcPr>
            <w:tcW w:w="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Calibri" w:eastAsia="宋体" w:cs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Cs w:val="21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．活动开展</w:t>
            </w:r>
          </w:p>
        </w:tc>
        <w:tc>
          <w:tcPr>
            <w:tcW w:w="3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每月集中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研修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不少于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学时（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分）；集中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研修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有专题，有主讲人，有讨论交流（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分）；每个教师有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1—2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个自培专题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或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科研项目（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分）。</w:t>
            </w:r>
          </w:p>
        </w:tc>
        <w:tc>
          <w:tcPr>
            <w:tcW w:w="11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座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谈</w:t>
            </w:r>
          </w:p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查资料</w:t>
            </w:r>
          </w:p>
        </w:tc>
        <w:tc>
          <w:tcPr>
            <w:tcW w:w="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Cs w:val="21"/>
              </w:rPr>
              <w:t>7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Cs w:val="21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．送培落实</w:t>
            </w:r>
          </w:p>
        </w:tc>
        <w:tc>
          <w:tcPr>
            <w:tcW w:w="3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完成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上级安排的</w:t>
            </w:r>
            <w:r>
              <w:rPr>
                <w:rFonts w:hint="eastAsia" w:ascii="Calibri" w:hAnsi="Calibri" w:cs="Times New Roman"/>
                <w:color w:val="auto"/>
                <w:kern w:val="0"/>
                <w:szCs w:val="21"/>
              </w:rPr>
              <w:t>到基层偏远学校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送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教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任务，每</w:t>
            </w:r>
            <w:r>
              <w:rPr>
                <w:rFonts w:hint="eastAsia" w:ascii="Calibri" w:hAnsi="Calibri" w:cs="Times New Roman"/>
                <w:color w:val="auto"/>
                <w:kern w:val="0"/>
                <w:szCs w:val="21"/>
              </w:rPr>
              <w:t>学期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次。</w:t>
            </w:r>
          </w:p>
        </w:tc>
        <w:tc>
          <w:tcPr>
            <w:tcW w:w="11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查资料</w:t>
            </w:r>
          </w:p>
        </w:tc>
        <w:tc>
          <w:tcPr>
            <w:tcW w:w="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Cs w:val="21"/>
              </w:rPr>
              <w:t>3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Cs w:val="21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．管理到位</w:t>
            </w:r>
          </w:p>
        </w:tc>
        <w:tc>
          <w:tcPr>
            <w:tcW w:w="3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每次集中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研修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有考勤（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分）；学时登记严格，专人负责（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分）；将学时转换成年度考核分（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分）；教师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研修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与职评、评选、奖励挂钩（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分）；按时完成上级下达的各项任务（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分）。</w:t>
            </w:r>
          </w:p>
        </w:tc>
        <w:tc>
          <w:tcPr>
            <w:tcW w:w="11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查资料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座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谈</w:t>
            </w:r>
          </w:p>
        </w:tc>
        <w:tc>
          <w:tcPr>
            <w:tcW w:w="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Cs w:val="21"/>
              </w:rPr>
              <w:t>6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11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ascii="Calibri" w:hAnsi="Calibri" w:cs="Times New Roman"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-830580</wp:posOffset>
                      </wp:positionH>
                      <wp:positionV relativeFrom="paragraph">
                        <wp:posOffset>-6350</wp:posOffset>
                      </wp:positionV>
                      <wp:extent cx="762000" cy="0"/>
                      <wp:effectExtent l="0" t="0" r="0" b="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5.4pt;margin-top:-0.5pt;height:0pt;width:60pt;z-index:251659264;mso-width-relative:page;mso-height-relative:page;" filled="f" stroked="t" coordsize="21600,21600" o:gfxdata="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ohqSCdUAAAAKAQAADwAAAAAAAAABACAAAAAiAAAAZHJzL2Rvd25yZXYueG1sUEsBAhQAFAAA&#10;AAgAh07iQAfFK5DyAQAA4wMAAA4AAAAAAAAAAQAgAAAAJAEAAGRycy9lMm9Eb2MueG1sUEsFBgAA&#10;AAAGAAYAWQEAAIg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6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．档案规范</w:t>
            </w:r>
          </w:p>
        </w:tc>
        <w:tc>
          <w:tcPr>
            <w:tcW w:w="3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有</w:t>
            </w:r>
            <w:r>
              <w:rPr>
                <w:rFonts w:hint="eastAsia" w:ascii="Calibri" w:hAnsi="Calibri" w:cs="Times New Roman"/>
                <w:color w:val="auto"/>
                <w:kern w:val="0"/>
                <w:szCs w:val="21"/>
              </w:rPr>
              <w:t>校本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研修</w:t>
            </w:r>
            <w:r>
              <w:rPr>
                <w:rFonts w:hint="eastAsia" w:ascii="Calibri" w:hAnsi="Calibri" w:cs="Times New Roman"/>
                <w:color w:val="auto"/>
                <w:kern w:val="0"/>
                <w:szCs w:val="21"/>
              </w:rPr>
              <w:t>档案</w:t>
            </w:r>
            <w:r>
              <w:rPr>
                <w:rFonts w:hint="eastAsia" w:ascii="Calibri" w:hAnsi="Calibri" w:cs="Times New Roman"/>
                <w:color w:val="auto"/>
                <w:kern w:val="0"/>
                <w:szCs w:val="21"/>
                <w:lang w:eastAsia="zh-CN"/>
              </w:rPr>
              <w:t>橱柜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分）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;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按规范的档案目录建档（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分）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;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资料齐全，分类装订存档，查阅方便（</w:t>
            </w:r>
            <w:r>
              <w:rPr>
                <w:rFonts w:ascii="Calibri" w:hAnsi="Calibri" w:cs="Times New Roman"/>
                <w:color w:val="auto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分）。</w:t>
            </w:r>
          </w:p>
        </w:tc>
        <w:tc>
          <w:tcPr>
            <w:tcW w:w="11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实地查看</w:t>
            </w:r>
          </w:p>
        </w:tc>
        <w:tc>
          <w:tcPr>
            <w:tcW w:w="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Calibri" w:eastAsia="宋体" w:cs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118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模式创新</w:t>
            </w:r>
          </w:p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（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10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分）</w:t>
            </w:r>
          </w:p>
        </w:tc>
        <w:tc>
          <w:tcPr>
            <w:tcW w:w="1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．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训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教研结合</w:t>
            </w:r>
          </w:p>
        </w:tc>
        <w:tc>
          <w:tcPr>
            <w:tcW w:w="3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研修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与教学结合，抓课堂教学创新有实效（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分）；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研修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与科研结合，有课题（</w:t>
            </w:r>
            <w:r>
              <w:rPr>
                <w:rFonts w:ascii="Calibri" w:hAnsi="Calibri" w:cs="Times New Roman"/>
                <w:color w:val="auto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分）。</w:t>
            </w:r>
          </w:p>
        </w:tc>
        <w:tc>
          <w:tcPr>
            <w:tcW w:w="11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座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谈</w:t>
            </w:r>
          </w:p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查资料</w:t>
            </w:r>
          </w:p>
        </w:tc>
        <w:tc>
          <w:tcPr>
            <w:tcW w:w="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Cs w:val="21"/>
              </w:rPr>
              <w:t>4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．开放式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研修</w:t>
            </w:r>
          </w:p>
        </w:tc>
        <w:tc>
          <w:tcPr>
            <w:tcW w:w="3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校际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研修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活动每学期至少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次（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分）；聘请名师讲课每学期至少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次（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分）。</w:t>
            </w:r>
          </w:p>
        </w:tc>
        <w:tc>
          <w:tcPr>
            <w:tcW w:w="11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查记录</w:t>
            </w:r>
          </w:p>
        </w:tc>
        <w:tc>
          <w:tcPr>
            <w:tcW w:w="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Cs w:val="21"/>
              </w:rPr>
              <w:t>2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1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Cs w:val="21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．与院校合作</w:t>
            </w:r>
          </w:p>
        </w:tc>
        <w:tc>
          <w:tcPr>
            <w:tcW w:w="3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与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研修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机构</w:t>
            </w:r>
            <w:r>
              <w:rPr>
                <w:rFonts w:hint="eastAsia" w:ascii="Calibri" w:hAnsi="Calibri" w:cs="Times New Roman"/>
                <w:color w:val="auto"/>
                <w:kern w:val="0"/>
                <w:szCs w:val="21"/>
              </w:rPr>
              <w:t>或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院校建立了伙伴关系，有合作计划（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分）；每学期活动至少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次（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分）。</w:t>
            </w:r>
          </w:p>
        </w:tc>
        <w:tc>
          <w:tcPr>
            <w:tcW w:w="11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查资料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记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录</w:t>
            </w:r>
          </w:p>
        </w:tc>
        <w:tc>
          <w:tcPr>
            <w:tcW w:w="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Cs w:val="21"/>
              </w:rPr>
              <w:t>4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8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研修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效果</w:t>
            </w:r>
          </w:p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（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22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分）</w:t>
            </w:r>
          </w:p>
        </w:tc>
        <w:tc>
          <w:tcPr>
            <w:tcW w:w="1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．师德师风</w:t>
            </w:r>
          </w:p>
        </w:tc>
        <w:tc>
          <w:tcPr>
            <w:tcW w:w="3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无违纪违规现象（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分）；师德师风公开评议的满意率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95%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以上（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分）。</w:t>
            </w:r>
          </w:p>
        </w:tc>
        <w:tc>
          <w:tcPr>
            <w:tcW w:w="11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座谈问卷</w:t>
            </w:r>
          </w:p>
        </w:tc>
        <w:tc>
          <w:tcPr>
            <w:tcW w:w="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Calibri" w:eastAsia="宋体" w:cs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1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．新课程教学</w:t>
            </w:r>
          </w:p>
        </w:tc>
        <w:tc>
          <w:tcPr>
            <w:tcW w:w="3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教师能胜任新课程教学的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90%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以上（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分）；其中优秀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50%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以上（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分）。</w:t>
            </w:r>
          </w:p>
        </w:tc>
        <w:tc>
          <w:tcPr>
            <w:tcW w:w="11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查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资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料</w:t>
            </w:r>
          </w:p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随堂听课</w:t>
            </w:r>
          </w:p>
        </w:tc>
        <w:tc>
          <w:tcPr>
            <w:tcW w:w="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Cs w:val="21"/>
              </w:rPr>
              <w:t>5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．教学科研</w:t>
            </w:r>
          </w:p>
        </w:tc>
        <w:tc>
          <w:tcPr>
            <w:tcW w:w="3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学校教师每年内在省、市、区、校级公开发表或获奖论文的人数分别达到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10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%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、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20%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、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30%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、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40%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、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50%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给予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1、2、3、4、5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分）。</w:t>
            </w:r>
          </w:p>
        </w:tc>
        <w:tc>
          <w:tcPr>
            <w:tcW w:w="11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查看论文</w:t>
            </w:r>
          </w:p>
        </w:tc>
        <w:tc>
          <w:tcPr>
            <w:tcW w:w="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Cs w:val="21"/>
              </w:rPr>
              <w:t>5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1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．教学质量</w:t>
            </w:r>
          </w:p>
        </w:tc>
        <w:tc>
          <w:tcPr>
            <w:tcW w:w="3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学生对教师教学评价的满意率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90%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以上（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分）；教学质量综合考评逐年提高（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2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分）。</w:t>
            </w:r>
          </w:p>
        </w:tc>
        <w:tc>
          <w:tcPr>
            <w:tcW w:w="11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查档案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问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卷</w:t>
            </w:r>
          </w:p>
        </w:tc>
        <w:tc>
          <w:tcPr>
            <w:tcW w:w="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Cs w:val="21"/>
              </w:rPr>
              <w:t>4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1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．经验总结</w:t>
            </w:r>
          </w:p>
        </w:tc>
        <w:tc>
          <w:tcPr>
            <w:tcW w:w="3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有校本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研修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经验材料（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分）；得到上级或专家的肯定或在报刊上发表（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分）。</w:t>
            </w:r>
          </w:p>
        </w:tc>
        <w:tc>
          <w:tcPr>
            <w:tcW w:w="11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查资料</w:t>
            </w:r>
          </w:p>
        </w:tc>
        <w:tc>
          <w:tcPr>
            <w:tcW w:w="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Cs w:val="21"/>
              </w:rPr>
              <w:t>3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118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学校教师</w:t>
            </w:r>
          </w:p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自评</w:t>
            </w:r>
          </w:p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（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15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分）</w:t>
            </w:r>
          </w:p>
        </w:tc>
        <w:tc>
          <w:tcPr>
            <w:tcW w:w="1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．教师自评</w:t>
            </w:r>
          </w:p>
        </w:tc>
        <w:tc>
          <w:tcPr>
            <w:tcW w:w="3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问卷调查，按“收获很大（权重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10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）”、“收获较大（权重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8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）”、“收获一般（权重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6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）”、“没有收获（权重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）”，采用加权平均法计算评分。</w:t>
            </w:r>
          </w:p>
        </w:tc>
        <w:tc>
          <w:tcPr>
            <w:tcW w:w="11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问卷座谈</w:t>
            </w:r>
          </w:p>
        </w:tc>
        <w:tc>
          <w:tcPr>
            <w:tcW w:w="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Cs w:val="21"/>
              </w:rPr>
              <w:t>10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11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．学校自评</w:t>
            </w:r>
          </w:p>
        </w:tc>
        <w:tc>
          <w:tcPr>
            <w:tcW w:w="3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综合自评结果“效果非常明显”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分；“比较明显”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4—5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分；一般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1—3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分；不明显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0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>—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分。</w:t>
            </w:r>
          </w:p>
        </w:tc>
        <w:tc>
          <w:tcPr>
            <w:tcW w:w="11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自评材料</w:t>
            </w:r>
          </w:p>
        </w:tc>
        <w:tc>
          <w:tcPr>
            <w:tcW w:w="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cs="宋体"/>
                <w:color w:val="auto"/>
                <w:kern w:val="0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Cs w:val="21"/>
              </w:rPr>
              <w:t>5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cs="宋体"/>
                <w:color w:val="auto"/>
                <w:kern w:val="0"/>
                <w:szCs w:val="21"/>
              </w:rPr>
            </w:pPr>
          </w:p>
        </w:tc>
      </w:tr>
    </w:tbl>
    <w:p>
      <w:pPr>
        <w:widowControl/>
        <w:spacing w:line="560" w:lineRule="exact"/>
        <w:ind w:firstLine="1000" w:firstLineChars="200"/>
        <w:rPr>
          <w:rFonts w:ascii="方正小标宋简体" w:hAnsi="宋体" w:eastAsia="方正小标宋简体" w:cs="宋体"/>
          <w:bCs/>
          <w:color w:val="auto"/>
          <w:spacing w:val="30"/>
          <w:kern w:val="0"/>
          <w:sz w:val="44"/>
          <w:szCs w:val="44"/>
        </w:rPr>
      </w:pP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7A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637670"/>
    <w:rsid w:val="00DA185E"/>
    <w:rsid w:val="014D3F12"/>
    <w:rsid w:val="01637670"/>
    <w:rsid w:val="04A654E1"/>
    <w:rsid w:val="082808F4"/>
    <w:rsid w:val="0D2819B9"/>
    <w:rsid w:val="172B580F"/>
    <w:rsid w:val="17FD57EE"/>
    <w:rsid w:val="1F3D7728"/>
    <w:rsid w:val="2465484B"/>
    <w:rsid w:val="2491208D"/>
    <w:rsid w:val="324B7908"/>
    <w:rsid w:val="35D402E6"/>
    <w:rsid w:val="36A63754"/>
    <w:rsid w:val="40732DD4"/>
    <w:rsid w:val="4C512DF0"/>
    <w:rsid w:val="5648509B"/>
    <w:rsid w:val="568806FD"/>
    <w:rsid w:val="5A0D7115"/>
    <w:rsid w:val="5C685CA6"/>
    <w:rsid w:val="5ECC163F"/>
    <w:rsid w:val="65743AE3"/>
    <w:rsid w:val="65FC1836"/>
    <w:rsid w:val="68085323"/>
    <w:rsid w:val="68B70588"/>
    <w:rsid w:val="725E7E23"/>
    <w:rsid w:val="768A02CE"/>
    <w:rsid w:val="7A6342A1"/>
    <w:rsid w:val="7E167C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2021-03-01T02:02:00Z</dcterms:created>
  <dc:creator>不错</dc:creator>
  <cp:lastModifiedBy>闫学忠</cp:lastModifiedBy>
  <dcterms:modified xsi:type="dcterms:W3CDTF">2021-04-12T08:43:57Z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16CCE4D5115F4D62A7A0A6026957E55B</vt:lpwstr>
  </property>
</Properties>
</file>