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440" w:lineRule="exact"/>
        <w:jc w:val="center"/>
        <w:rPr>
          <w:rFonts w:hint="eastAsia" w:ascii="华文中宋" w:hAnsi="华文中宋" w:eastAsia="华文中宋" w:cs="Arial"/>
          <w:b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  <w:t>三亚市</w:t>
      </w: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  <w:lang w:eastAsia="zh-CN"/>
        </w:rPr>
        <w:t>小</w:t>
      </w: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  <w:t>学课堂教学视导评价表</w:t>
      </w:r>
    </w:p>
    <w:p>
      <w:pPr>
        <w:spacing w:before="156" w:beforeLines="50" w:after="156" w:afterLines="50" w:line="600" w:lineRule="exact"/>
        <w:ind w:firstLine="480" w:firstLineChars="200"/>
        <w:rPr>
          <w:rFonts w:hint="default" w:ascii="宋体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学校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班级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szCs w:val="24"/>
        </w:rPr>
        <w:t>学科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</w:p>
    <w:p>
      <w:pPr>
        <w:spacing w:before="156" w:beforeLines="50" w:after="156" w:afterLines="50" w:line="600" w:lineRule="exact"/>
        <w:ind w:firstLine="480" w:firstLineChars="200"/>
        <w:rPr>
          <w:rFonts w:hint="default" w:ascii="宋体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任课教师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szCs w:val="24"/>
        </w:rPr>
        <w:t>课题名称：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</w:p>
    <w:tbl>
      <w:tblPr>
        <w:tblStyle w:val="2"/>
        <w:tblW w:w="946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725"/>
        <w:gridCol w:w="945"/>
        <w:gridCol w:w="5066"/>
        <w:gridCol w:w="9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4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评价项目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评价要点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教学设计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（10分）</w:t>
            </w: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1.教学目标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依据课标，结合学情；表述准确，内容具体；可操作，可评价；体现学科特点。</w:t>
            </w:r>
          </w:p>
        </w:tc>
        <w:tc>
          <w:tcPr>
            <w:tcW w:w="96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2.活动设计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内容选择合理，有利于目标达成；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问题设计恰当，有利于思维发展；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活动安排具体，有利于教学实施。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教学实施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（40分）</w:t>
            </w: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3.教学组织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组织调控合理，限时讲授适当；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启发引导到位，教学秩序井然。</w:t>
            </w:r>
          </w:p>
        </w:tc>
        <w:tc>
          <w:tcPr>
            <w:tcW w:w="96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4.教学流程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思路清晰，层次清楚，衔接自然，科学合理。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5.教材处理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目标明确，突出重点，突破难点，整合教材，策略得当。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6.教学方法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采用先学后教，问题导学，合作学习等灵活多样的方式；体现信息技术与学科教学的融合。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7.教学机智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灵活处理教学中生成的问题，并能合理转化成教学资源。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8.教学评价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及时矫正，体现评价的激励性和发展性原则。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教学效果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（20分）</w:t>
            </w: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9.学习状态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参与热烈，展示积极；兴趣浓厚，思维活跃。</w:t>
            </w:r>
          </w:p>
        </w:tc>
        <w:tc>
          <w:tcPr>
            <w:tcW w:w="96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10.目标达成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目标达成较好，学习效率较高，教学效果良好。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教师素质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（20分）</w:t>
            </w: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11.学科素养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教学理念先进，专业知识扎实，教学经验丰富。</w:t>
            </w:r>
          </w:p>
        </w:tc>
        <w:tc>
          <w:tcPr>
            <w:tcW w:w="96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12.教态仪表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仪表端庄，教态自然，和蔼亲切，举止文明。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13.板书设计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设计合理，重点突出；生动形象，书写美观。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7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14.操作能力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操作规范、准确、娴熟。</w:t>
            </w:r>
          </w:p>
        </w:tc>
        <w:tc>
          <w:tcPr>
            <w:tcW w:w="96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教学特色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（10分）</w:t>
            </w:r>
          </w:p>
        </w:tc>
        <w:tc>
          <w:tcPr>
            <w:tcW w:w="172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15.特色创新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教学模式、教学设计、教学风格等有独到之处。</w:t>
            </w:r>
          </w:p>
        </w:tc>
        <w:tc>
          <w:tcPr>
            <w:tcW w:w="966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exact"/>
        <w:ind w:firstLine="240" w:firstLineChars="100"/>
        <w:rPr>
          <w:rFonts w:hint="eastAsia" w:hAnsi="宋体" w:eastAsia="仿宋_GB2312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  <w:lang w:eastAsia="zh-CN"/>
        </w:rPr>
        <w:t>（备注）</w:t>
      </w:r>
      <w:r>
        <w:rPr>
          <w:rFonts w:hAnsi="宋体"/>
          <w:sz w:val="24"/>
          <w:szCs w:val="24"/>
        </w:rPr>
        <w:t>90</w:t>
      </w:r>
      <w:r>
        <w:rPr>
          <w:rFonts w:hint="eastAsia" w:hAnsi="宋体"/>
          <w:sz w:val="24"/>
          <w:szCs w:val="24"/>
        </w:rPr>
        <w:t>分及以上优秀</w:t>
      </w:r>
      <w:r>
        <w:rPr>
          <w:rFonts w:hAnsi="宋体"/>
          <w:sz w:val="24"/>
          <w:szCs w:val="24"/>
        </w:rPr>
        <w:t xml:space="preserve">  80—</w:t>
      </w:r>
      <w:r>
        <w:rPr>
          <w:rFonts w:hint="eastAsia" w:hAnsi="宋体"/>
          <w:sz w:val="24"/>
          <w:szCs w:val="24"/>
        </w:rPr>
        <w:t>89良好</w:t>
      </w:r>
      <w:r>
        <w:rPr>
          <w:rFonts w:hAnsi="宋体"/>
          <w:sz w:val="24"/>
          <w:szCs w:val="24"/>
        </w:rPr>
        <w:t xml:space="preserve">  </w:t>
      </w:r>
      <w:r>
        <w:rPr>
          <w:rFonts w:hint="eastAsia" w:hAnsi="宋体"/>
          <w:sz w:val="24"/>
          <w:szCs w:val="24"/>
        </w:rPr>
        <w:t>6</w:t>
      </w:r>
      <w:r>
        <w:rPr>
          <w:rFonts w:hAnsi="宋体"/>
          <w:sz w:val="24"/>
          <w:szCs w:val="24"/>
        </w:rPr>
        <w:t>0—</w:t>
      </w:r>
      <w:r>
        <w:rPr>
          <w:rFonts w:hint="eastAsia" w:hAnsi="宋体"/>
          <w:sz w:val="24"/>
          <w:szCs w:val="24"/>
        </w:rPr>
        <w:t>79合格</w:t>
      </w:r>
      <w:r>
        <w:rPr>
          <w:rFonts w:hAnsi="宋体"/>
          <w:sz w:val="24"/>
          <w:szCs w:val="24"/>
        </w:rPr>
        <w:t xml:space="preserve">  </w:t>
      </w:r>
      <w:r>
        <w:rPr>
          <w:rFonts w:hint="eastAsia" w:hAnsi="宋体"/>
          <w:sz w:val="24"/>
          <w:szCs w:val="24"/>
        </w:rPr>
        <w:t>6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以下不合格</w:t>
      </w:r>
    </w:p>
    <w:p>
      <w:pPr>
        <w:spacing w:line="600" w:lineRule="exact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评价等级：         评价人：           </w:t>
      </w:r>
      <w:r>
        <w:rPr>
          <w:rFonts w:hint="eastAsia" w:hAnsi="宋体"/>
          <w:sz w:val="24"/>
          <w:szCs w:val="24"/>
          <w:lang w:val="en-US" w:eastAsia="zh-CN"/>
        </w:rPr>
        <w:t xml:space="preserve">           </w:t>
      </w:r>
      <w:r>
        <w:rPr>
          <w:rFonts w:hint="eastAsia" w:hAnsi="宋体"/>
          <w:sz w:val="24"/>
          <w:szCs w:val="24"/>
        </w:rPr>
        <w:t xml:space="preserve">     </w:t>
      </w:r>
      <w:r>
        <w:rPr>
          <w:rFonts w:hint="eastAsia" w:hAnsi="宋体"/>
          <w:sz w:val="24"/>
          <w:szCs w:val="24"/>
          <w:lang w:val="en-US" w:eastAsia="zh-CN"/>
        </w:rPr>
        <w:t xml:space="preserve">   </w:t>
      </w:r>
      <w:r>
        <w:rPr>
          <w:rFonts w:hint="eastAsia" w:hAnsi="宋体"/>
          <w:sz w:val="24"/>
          <w:szCs w:val="24"/>
        </w:rPr>
        <w:t xml:space="preserve">  年   月    日</w:t>
      </w:r>
    </w:p>
    <w:p>
      <w:pPr>
        <w:widowControl/>
        <w:spacing w:after="156" w:afterLines="50" w:line="600" w:lineRule="exact"/>
        <w:rPr>
          <w:rFonts w:hint="eastAsia" w:ascii="黑体" w:hAnsi="黑体" w:eastAsia="黑体" w:cs="仿宋_GB2312"/>
          <w:kern w:val="0"/>
        </w:rPr>
      </w:pPr>
      <w:r>
        <w:rPr>
          <w:rFonts w:cs="仿宋_GB2312"/>
          <w:kern w:val="0"/>
          <w:sz w:val="24"/>
          <w:szCs w:val="24"/>
        </w:rPr>
        <w:br w:type="page"/>
      </w:r>
    </w:p>
    <w:p>
      <w:pPr>
        <w:widowControl/>
        <w:spacing w:line="600" w:lineRule="exact"/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  <w:t xml:space="preserve">     </w:t>
      </w: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  <w:lang w:val="en-US" w:eastAsia="zh-CN"/>
        </w:rPr>
        <w:t xml:space="preserve">      </w:t>
      </w:r>
      <w:r>
        <w:rPr>
          <w:rFonts w:hint="eastAsia" w:ascii="华文中宋" w:hAnsi="华文中宋" w:eastAsia="华文中宋" w:cs="Arial"/>
          <w:color w:val="000000"/>
          <w:kern w:val="0"/>
          <w:sz w:val="36"/>
          <w:szCs w:val="36"/>
        </w:rPr>
        <w:t>三亚市小学课堂教学视导评价汇总表</w:t>
      </w:r>
    </w:p>
    <w:p>
      <w:pPr>
        <w:autoSpaceDE w:val="0"/>
        <w:autoSpaceDN w:val="0"/>
        <w:adjustRightInd w:val="0"/>
        <w:spacing w:line="600" w:lineRule="exact"/>
        <w:rPr>
          <w:rFonts w:hint="eastAsia" w:cs="仿宋_GB2312"/>
          <w:kern w:val="0"/>
        </w:rPr>
      </w:pPr>
      <w:r>
        <w:rPr>
          <w:rFonts w:hint="eastAsia" w:cs="仿宋_GB2312"/>
          <w:kern w:val="0"/>
        </w:rPr>
        <w:t xml:space="preserve">      视导学校：</w:t>
      </w:r>
      <w:r>
        <w:rPr>
          <w:rFonts w:hint="eastAsia" w:cs="仿宋_GB2312"/>
          <w:kern w:val="0"/>
          <w:u w:val="words"/>
        </w:rPr>
        <w:t xml:space="preserve">                 </w:t>
      </w:r>
      <w:r>
        <w:rPr>
          <w:rFonts w:hint="eastAsia" w:cs="仿宋_GB2312"/>
          <w:kern w:val="0"/>
        </w:rPr>
        <w:t>学科：</w:t>
      </w:r>
    </w:p>
    <w:tbl>
      <w:tblPr>
        <w:tblStyle w:val="2"/>
        <w:tblW w:w="892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8"/>
        <w:gridCol w:w="65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视导听课节数</w:t>
            </w:r>
          </w:p>
        </w:tc>
        <w:tc>
          <w:tcPr>
            <w:tcW w:w="651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总体评价</w:t>
            </w:r>
          </w:p>
        </w:tc>
        <w:tc>
          <w:tcPr>
            <w:tcW w:w="651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优秀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节占比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%；良好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节占比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%；</w:t>
            </w:r>
          </w:p>
          <w:p>
            <w:pPr>
              <w:autoSpaceDE w:val="0"/>
              <w:autoSpaceDN w:val="0"/>
              <w:adjustRightInd w:val="0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合格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节占比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%；不合格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节占比</w:t>
            </w:r>
            <w:r>
              <w:rPr>
                <w:rFonts w:hint="eastAsia" w:cs="仿宋_GB2312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cs="仿宋_GB2312"/>
                <w:kern w:val="0"/>
                <w:sz w:val="30"/>
                <w:szCs w:val="30"/>
              </w:rPr>
              <w:t>%。</w:t>
            </w:r>
          </w:p>
          <w:p>
            <w:pPr>
              <w:autoSpaceDE w:val="0"/>
              <w:autoSpaceDN w:val="0"/>
              <w:adjustRightInd w:val="0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综述：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atLeast"/>
          <w:jc w:val="center"/>
        </w:trPr>
        <w:tc>
          <w:tcPr>
            <w:tcW w:w="24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主要亮点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及示例</w:t>
            </w:r>
          </w:p>
        </w:tc>
        <w:tc>
          <w:tcPr>
            <w:tcW w:w="651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atLeast"/>
          <w:jc w:val="center"/>
        </w:trPr>
        <w:tc>
          <w:tcPr>
            <w:tcW w:w="24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存在问题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及示例</w:t>
            </w:r>
          </w:p>
        </w:tc>
        <w:tc>
          <w:tcPr>
            <w:tcW w:w="651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240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  <w:r>
              <w:rPr>
                <w:rFonts w:hint="eastAsia" w:cs="仿宋_GB2312"/>
                <w:kern w:val="0"/>
                <w:sz w:val="30"/>
                <w:szCs w:val="30"/>
              </w:rPr>
              <w:t>改进建议</w:t>
            </w:r>
          </w:p>
        </w:tc>
        <w:tc>
          <w:tcPr>
            <w:tcW w:w="651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cs="仿宋_GB2312"/>
                <w:kern w:val="0"/>
                <w:sz w:val="30"/>
                <w:szCs w:val="30"/>
              </w:rPr>
            </w:pPr>
          </w:p>
        </w:tc>
      </w:tr>
    </w:tbl>
    <w:p>
      <w:pPr>
        <w:ind w:firstLine="560" w:firstLineChars="200"/>
        <w:rPr>
          <w:rFonts w:hint="eastAsia" w:cs="仿宋_GB2312"/>
          <w:kern w:val="0"/>
          <w:sz w:val="30"/>
          <w:szCs w:val="30"/>
        </w:rPr>
      </w:pPr>
      <w:r>
        <w:rPr>
          <w:rFonts w:hint="eastAsia" w:cs="仿宋_GB2312"/>
          <w:kern w:val="0"/>
          <w:sz w:val="28"/>
          <w:szCs w:val="28"/>
          <w:lang w:eastAsia="zh-CN"/>
        </w:rPr>
        <w:t>（备注）</w:t>
      </w:r>
      <w:r>
        <w:rPr>
          <w:rFonts w:cs="仿宋_GB2312"/>
          <w:kern w:val="0"/>
          <w:sz w:val="28"/>
          <w:szCs w:val="28"/>
        </w:rPr>
        <w:t>90</w:t>
      </w:r>
      <w:r>
        <w:rPr>
          <w:rFonts w:hint="eastAsia" w:cs="仿宋_GB2312"/>
          <w:kern w:val="0"/>
          <w:sz w:val="28"/>
          <w:szCs w:val="28"/>
        </w:rPr>
        <w:t>分及以上优秀</w:t>
      </w:r>
      <w:r>
        <w:rPr>
          <w:rFonts w:cs="仿宋_GB2312"/>
          <w:kern w:val="0"/>
          <w:sz w:val="28"/>
          <w:szCs w:val="28"/>
        </w:rPr>
        <w:t xml:space="preserve">  80—</w:t>
      </w:r>
      <w:r>
        <w:rPr>
          <w:rFonts w:hint="eastAsia" w:cs="仿宋_GB2312"/>
          <w:kern w:val="0"/>
          <w:sz w:val="28"/>
          <w:szCs w:val="28"/>
        </w:rPr>
        <w:t>89良好</w:t>
      </w:r>
      <w:r>
        <w:rPr>
          <w:rFonts w:cs="仿宋_GB2312"/>
          <w:kern w:val="0"/>
          <w:sz w:val="28"/>
          <w:szCs w:val="28"/>
        </w:rPr>
        <w:t xml:space="preserve">  </w:t>
      </w:r>
      <w:r>
        <w:rPr>
          <w:rFonts w:hint="eastAsia" w:cs="仿宋_GB2312"/>
          <w:kern w:val="0"/>
          <w:sz w:val="28"/>
          <w:szCs w:val="28"/>
        </w:rPr>
        <w:t>6</w:t>
      </w:r>
      <w:r>
        <w:rPr>
          <w:rFonts w:cs="仿宋_GB2312"/>
          <w:kern w:val="0"/>
          <w:sz w:val="28"/>
          <w:szCs w:val="28"/>
        </w:rPr>
        <w:t>0—</w:t>
      </w:r>
      <w:r>
        <w:rPr>
          <w:rFonts w:hint="eastAsia" w:cs="仿宋_GB2312"/>
          <w:kern w:val="0"/>
          <w:sz w:val="28"/>
          <w:szCs w:val="28"/>
        </w:rPr>
        <w:t>79合格</w:t>
      </w:r>
      <w:r>
        <w:rPr>
          <w:rFonts w:cs="仿宋_GB2312"/>
          <w:kern w:val="0"/>
          <w:sz w:val="28"/>
          <w:szCs w:val="28"/>
        </w:rPr>
        <w:t xml:space="preserve">  </w:t>
      </w:r>
      <w:r>
        <w:rPr>
          <w:rFonts w:hint="eastAsia" w:cs="仿宋_GB2312"/>
          <w:kern w:val="0"/>
          <w:sz w:val="28"/>
          <w:szCs w:val="28"/>
        </w:rPr>
        <w:t>6</w:t>
      </w:r>
      <w:r>
        <w:rPr>
          <w:rFonts w:cs="仿宋_GB2312"/>
          <w:kern w:val="0"/>
          <w:sz w:val="28"/>
          <w:szCs w:val="28"/>
        </w:rPr>
        <w:t>0</w:t>
      </w:r>
      <w:r>
        <w:rPr>
          <w:rFonts w:hint="eastAsia" w:cs="仿宋_GB2312"/>
          <w:kern w:val="0"/>
          <w:sz w:val="28"/>
          <w:szCs w:val="28"/>
        </w:rPr>
        <w:t>以下不合格</w:t>
      </w:r>
    </w:p>
    <w:p>
      <w:pPr>
        <w:autoSpaceDE w:val="0"/>
        <w:autoSpaceDN w:val="0"/>
        <w:adjustRightInd w:val="0"/>
        <w:spacing w:line="600" w:lineRule="exact"/>
        <w:rPr>
          <w:rFonts w:hint="eastAsia" w:cs="仿宋_GB2312"/>
          <w:kern w:val="0"/>
          <w:sz w:val="30"/>
          <w:szCs w:val="30"/>
        </w:rPr>
      </w:pPr>
      <w:r>
        <w:rPr>
          <w:rFonts w:hint="eastAsia" w:cs="仿宋_GB2312"/>
          <w:kern w:val="0"/>
          <w:sz w:val="30"/>
          <w:szCs w:val="30"/>
        </w:rPr>
        <w:t xml:space="preserve">学科视导组长：                             </w:t>
      </w:r>
    </w:p>
    <w:p>
      <w:pPr>
        <w:autoSpaceDE w:val="0"/>
        <w:autoSpaceDN w:val="0"/>
        <w:adjustRightInd w:val="0"/>
        <w:spacing w:line="600" w:lineRule="exact"/>
        <w:rPr>
          <w:rFonts w:cs="仿宋_GB2312"/>
          <w:kern w:val="0"/>
        </w:rPr>
      </w:pPr>
      <w:r>
        <w:rPr>
          <w:rFonts w:hint="eastAsia" w:cs="仿宋_GB2312"/>
          <w:kern w:val="0"/>
          <w:sz w:val="30"/>
          <w:szCs w:val="30"/>
        </w:rPr>
        <w:t xml:space="preserve">                                      </w:t>
      </w:r>
      <w:r>
        <w:rPr>
          <w:rFonts w:hint="eastAsia" w:cs="仿宋_GB2312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cs="仿宋_GB2312"/>
          <w:kern w:val="0"/>
          <w:sz w:val="30"/>
          <w:szCs w:val="30"/>
        </w:rPr>
        <w:t xml:space="preserve">     年   月   日</w:t>
      </w:r>
    </w:p>
    <w:sectPr>
      <w:pgSz w:w="11906" w:h="16838"/>
      <w:pgMar w:top="1270" w:right="1066" w:bottom="110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D6477"/>
    <w:rsid w:val="13D279A7"/>
    <w:rsid w:val="5ECE5B0C"/>
    <w:rsid w:val="720D5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697</Words>
  <Characters>740</Characters>
  <Lines>0</Lines>
  <Paragraphs>0</Paragraphs>
  <TotalTime>6</TotalTime>
  <ScaleCrop>false</ScaleCrop>
  <LinksUpToDate>false</LinksUpToDate>
  <CharactersWithSpaces>985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11</cp:lastModifiedBy>
  <dcterms:modified xsi:type="dcterms:W3CDTF">2021-05-08T02:27:54Z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5A072F8DB5454E888AC61ECC43368406</vt:lpwstr>
  </property>
</Properties>
</file>