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702" w:lineRule="atLeast"/>
        <w:jc w:val="center"/>
        <w:rPr>
          <w:rFonts w:hint="eastAsia" w:ascii="黑体" w:hAnsi="黑体" w:eastAsia="黑体" w:cs="宋体"/>
          <w:color w:val="000000"/>
          <w:kern w:val="0"/>
          <w:sz w:val="39"/>
          <w:szCs w:val="39"/>
        </w:rPr>
      </w:pPr>
      <w:r>
        <w:rPr>
          <w:rFonts w:hint="eastAsia" w:ascii="黑体" w:hAnsi="黑体" w:eastAsia="黑体" w:cs="宋体"/>
          <w:color w:val="000000"/>
          <w:kern w:val="0"/>
          <w:sz w:val="36"/>
          <w:szCs w:val="36"/>
        </w:rPr>
        <w:t>海南省教育科学规划领导小组办公室</w:t>
      </w:r>
    </w:p>
    <w:p>
      <w:pPr>
        <w:widowControl/>
        <w:spacing w:line="702" w:lineRule="atLeast"/>
        <w:jc w:val="center"/>
        <w:rPr>
          <w:rFonts w:hint="eastAsia" w:ascii="黑体" w:hAnsi="黑体" w:eastAsia="黑体" w:cs="宋体"/>
          <w:color w:val="000000"/>
          <w:kern w:val="0"/>
          <w:sz w:val="39"/>
          <w:szCs w:val="39"/>
        </w:rPr>
      </w:pPr>
      <w:r>
        <w:rPr>
          <w:rFonts w:hint="eastAsia" w:ascii="黑体" w:hAnsi="黑体" w:eastAsia="黑体" w:cs="宋体"/>
          <w:color w:val="000000"/>
          <w:kern w:val="0"/>
          <w:sz w:val="36"/>
          <w:szCs w:val="36"/>
        </w:rPr>
        <w:t>海南省教育研究培训院</w:t>
      </w:r>
    </w:p>
    <w:p>
      <w:pPr>
        <w:widowControl/>
        <w:spacing w:line="702" w:lineRule="atLeast"/>
        <w:jc w:val="center"/>
        <w:rPr>
          <w:rFonts w:ascii="黑体" w:hAnsi="黑体" w:eastAsia="黑体" w:cs="宋体"/>
          <w:color w:val="000000"/>
          <w:kern w:val="0"/>
          <w:sz w:val="39"/>
          <w:szCs w:val="39"/>
        </w:rPr>
      </w:pPr>
      <w:r>
        <w:rPr>
          <w:rFonts w:hint="eastAsia" w:ascii="微软雅黑" w:hAnsi="微软雅黑" w:eastAsia="微软雅黑" w:cs="宋体"/>
          <w:b/>
          <w:bCs/>
          <w:color w:val="000000"/>
          <w:kern w:val="0"/>
          <w:sz w:val="30"/>
          <w:szCs w:val="30"/>
        </w:rPr>
        <w:t>关于2020年省级优秀小课题论文评比结果的通报</w:t>
      </w:r>
    </w:p>
    <w:p>
      <w:pPr>
        <w:widowControl/>
        <w:spacing w:line="486" w:lineRule="atLeast"/>
        <w:rPr>
          <w:rFonts w:hint="eastAsia" w:ascii="宋体" w:hAnsi="宋体" w:eastAsia="宋体" w:cs="宋体"/>
          <w:color w:val="000000"/>
          <w:kern w:val="0"/>
          <w:sz w:val="24"/>
          <w:szCs w:val="24"/>
        </w:rPr>
      </w:pPr>
      <w:r>
        <w:rPr>
          <w:rFonts w:hint="eastAsia" w:ascii="仿宋_GB2312" w:hAnsi="宋体" w:eastAsia="仿宋_GB2312" w:cs="宋体"/>
          <w:color w:val="000000"/>
          <w:kern w:val="0"/>
          <w:sz w:val="27"/>
          <w:szCs w:val="27"/>
        </w:rPr>
        <w:t>各市、县、自治县教育（教科）局教研机构，洋浦经济开发区社会发展局教管办，厅直属各中学： </w:t>
      </w:r>
    </w:p>
    <w:p>
      <w:pPr>
        <w:widowControl/>
        <w:spacing w:line="486" w:lineRule="atLeast"/>
        <w:ind w:firstLine="480"/>
        <w:rPr>
          <w:rFonts w:ascii="仿宋_GB2312" w:hAnsi="微软雅黑" w:eastAsia="仿宋_GB2312" w:cs="宋体"/>
          <w:color w:val="000000"/>
          <w:kern w:val="0"/>
          <w:sz w:val="27"/>
          <w:szCs w:val="27"/>
        </w:rPr>
      </w:pPr>
      <w:r>
        <w:rPr>
          <w:rFonts w:hint="eastAsia" w:ascii="仿宋_GB2312" w:hAnsi="微软雅黑" w:eastAsia="仿宋_GB2312" w:cs="宋体"/>
          <w:color w:val="000000"/>
          <w:kern w:val="0"/>
          <w:sz w:val="27"/>
          <w:szCs w:val="27"/>
        </w:rPr>
        <w:t>为推动我省中小学教师小课题开展，提高小课题研究质量，省教育研究培训院和省教育科学规划办联合组织开展了优秀小课题论文评比活动，共收到参评论文145篇，经评审专家独立打分，省教育科学规划办审核，网络公示无异议，评出一等奖论文15篇，二等奖论文44篇，三等奖论文83篇，另有3篇论文未遵守匿名规则及未按格式要求提交论文稿件，不予评奖。现将评比结果予以通报，请各市县、直属学校科研主管12月24-25日到我办统一领取获奖证书（不邮寄），联系电话：</w:t>
      </w:r>
      <w:bookmarkStart w:id="0" w:name="_GoBack"/>
      <w:bookmarkEnd w:id="0"/>
      <w:r>
        <w:rPr>
          <w:rFonts w:hint="eastAsia" w:ascii="仿宋_GB2312" w:hAnsi="微软雅黑" w:eastAsia="仿宋_GB2312" w:cs="宋体"/>
          <w:color w:val="000000"/>
          <w:kern w:val="0"/>
          <w:sz w:val="27"/>
          <w:szCs w:val="27"/>
        </w:rPr>
        <w:t>36652759。 </w:t>
      </w:r>
    </w:p>
    <w:p>
      <w:pPr>
        <w:widowControl/>
        <w:spacing w:line="486" w:lineRule="atLeast"/>
        <w:rPr>
          <w:rFonts w:hint="eastAsia" w:ascii="仿宋_GB2312" w:hAnsi="微软雅黑" w:eastAsia="仿宋_GB2312" w:cs="宋体"/>
          <w:color w:val="000000"/>
          <w:kern w:val="0"/>
          <w:sz w:val="27"/>
          <w:szCs w:val="27"/>
        </w:rPr>
      </w:pPr>
      <w:r>
        <w:rPr>
          <w:rFonts w:hint="eastAsia" w:ascii="仿宋_GB2312" w:hAnsi="微软雅黑" w:eastAsia="仿宋_GB2312" w:cs="宋体"/>
          <w:color w:val="000000"/>
          <w:kern w:val="0"/>
          <w:sz w:val="27"/>
          <w:szCs w:val="27"/>
        </w:rPr>
        <w:t>附件：2020年省级优秀小课题论文评比结果汇总表</w:t>
      </w:r>
    </w:p>
    <w:p>
      <w:pPr>
        <w:widowControl/>
        <w:spacing w:line="486" w:lineRule="atLeast"/>
        <w:jc w:val="center"/>
        <w:rPr>
          <w:rFonts w:hint="eastAsia" w:ascii="仿宋_GB2312" w:hAnsi="微软雅黑" w:eastAsia="仿宋_GB2312" w:cs="宋体"/>
          <w:color w:val="000000"/>
          <w:kern w:val="0"/>
          <w:sz w:val="27"/>
          <w:szCs w:val="27"/>
        </w:rPr>
      </w:pPr>
      <w:r>
        <w:rPr>
          <w:rFonts w:hint="eastAsia" w:ascii="仿宋_GB2312" w:hAnsi="微软雅黑" w:eastAsia="仿宋_GB2312" w:cs="宋体"/>
          <w:color w:val="000000"/>
          <w:kern w:val="0"/>
          <w:sz w:val="27"/>
          <w:szCs w:val="27"/>
        </w:rPr>
        <w:t>海南省教育研究培训院</w:t>
      </w:r>
    </w:p>
    <w:p>
      <w:pPr>
        <w:widowControl/>
        <w:spacing w:line="486" w:lineRule="atLeast"/>
        <w:jc w:val="center"/>
        <w:rPr>
          <w:rFonts w:hint="eastAsia" w:ascii="仿宋_GB2312" w:hAnsi="微软雅黑" w:eastAsia="仿宋_GB2312" w:cs="宋体"/>
          <w:color w:val="000000"/>
          <w:kern w:val="0"/>
          <w:sz w:val="27"/>
          <w:szCs w:val="27"/>
        </w:rPr>
      </w:pPr>
      <w:r>
        <w:rPr>
          <w:rFonts w:hint="eastAsia" w:ascii="仿宋_GB2312" w:hAnsi="微软雅黑" w:eastAsia="仿宋_GB2312" w:cs="宋体"/>
          <w:color w:val="000000"/>
          <w:kern w:val="0"/>
          <w:sz w:val="27"/>
          <w:szCs w:val="27"/>
        </w:rPr>
        <w:t>2020年12月21日 </w:t>
      </w:r>
    </w:p>
    <w:p>
      <w:pPr>
        <w:widowControl/>
        <w:spacing w:line="486" w:lineRule="atLeast"/>
        <w:jc w:val="center"/>
        <w:rPr>
          <w:rFonts w:hint="eastAsia" w:ascii="仿宋_GB2312" w:hAnsi="微软雅黑" w:eastAsia="仿宋_GB2312" w:cs="宋体"/>
          <w:color w:val="000000"/>
          <w:kern w:val="0"/>
          <w:sz w:val="27"/>
          <w:szCs w:val="27"/>
        </w:rPr>
      </w:pPr>
      <w:r>
        <w:rPr>
          <w:rFonts w:hint="eastAsia" w:ascii="仿宋_GB2312" w:hAnsi="微软雅黑" w:eastAsia="仿宋_GB2312" w:cs="宋体"/>
          <w:color w:val="000000"/>
          <w:kern w:val="0"/>
          <w:sz w:val="27"/>
          <w:szCs w:val="27"/>
        </w:rPr>
        <w:t>海南省教育科学规划领导小组办公室</w:t>
      </w:r>
    </w:p>
    <w:p>
      <w:pPr>
        <w:widowControl/>
        <w:spacing w:line="486" w:lineRule="atLeast"/>
        <w:jc w:val="center"/>
        <w:rPr>
          <w:rFonts w:hint="eastAsia" w:ascii="仿宋_GB2312" w:hAnsi="微软雅黑" w:eastAsia="仿宋_GB2312" w:cs="宋体"/>
          <w:color w:val="000000"/>
          <w:kern w:val="0"/>
          <w:sz w:val="27"/>
          <w:szCs w:val="27"/>
        </w:rPr>
      </w:pPr>
      <w:r>
        <w:rPr>
          <w:rFonts w:hint="eastAsia" w:ascii="仿宋_GB2312" w:hAnsi="微软雅黑" w:eastAsia="仿宋_GB2312" w:cs="宋体"/>
          <w:color w:val="000000"/>
          <w:kern w:val="0"/>
          <w:sz w:val="27"/>
          <w:szCs w:val="27"/>
        </w:rPr>
        <w:t> </w:t>
      </w:r>
    </w:p>
    <w:p>
      <w:pPr>
        <w:widowControl/>
        <w:spacing w:line="0" w:lineRule="auto"/>
        <w:rPr>
          <w:rFonts w:hint="eastAsia" w:ascii="仿宋_GB2312" w:hAnsi="微软雅黑" w:eastAsia="仿宋_GB2312" w:cs="宋体"/>
          <w:color w:val="000000"/>
          <w:kern w:val="0"/>
          <w:sz w:val="27"/>
          <w:szCs w:val="27"/>
        </w:rPr>
      </w:pPr>
      <w:r>
        <w:rPr>
          <w:rFonts w:hint="eastAsia" w:ascii="仿宋_GB2312" w:hAnsi="微软雅黑" w:eastAsia="仿宋_GB2312" w:cs="宋体"/>
          <w:color w:val="000000"/>
          <w:kern w:val="0"/>
          <w:sz w:val="27"/>
          <w:szCs w:val="27"/>
        </w:rPr>
        <w:t> </w:t>
      </w:r>
    </w:p>
    <w:p>
      <w:pPr>
        <w:widowControl/>
        <w:spacing w:line="486" w:lineRule="atLeast"/>
        <w:rPr>
          <w:rFonts w:hint="eastAsia" w:ascii="仿宋_GB2312" w:hAnsi="微软雅黑" w:eastAsia="仿宋_GB2312" w:cs="宋体"/>
          <w:color w:val="000000"/>
          <w:kern w:val="0"/>
          <w:sz w:val="27"/>
          <w:szCs w:val="27"/>
        </w:rPr>
      </w:pPr>
      <w:r>
        <w:rPr>
          <w:rFonts w:hint="eastAsia" w:ascii="仿宋_GB2312" w:hAnsi="微软雅黑" w:eastAsia="仿宋_GB2312" w:cs="宋体"/>
          <w:color w:val="000000"/>
          <w:kern w:val="0"/>
          <w:sz w:val="27"/>
          <w:szCs w:val="27"/>
        </w:rPr>
        <w:t> </w:t>
      </w:r>
    </w:p>
    <w:p>
      <w:pPr>
        <w:widowControl/>
        <w:jc w:val="left"/>
        <w:rPr>
          <w:rFonts w:hint="eastAsia" w:ascii="微软雅黑" w:hAnsi="微软雅黑" w:eastAsia="微软雅黑" w:cs="宋体"/>
          <w:color w:val="000000"/>
          <w:kern w:val="0"/>
          <w:sz w:val="27"/>
          <w:szCs w:val="27"/>
        </w:rPr>
      </w:pPr>
      <w:r>
        <w:rPr>
          <w:rFonts w:hint="eastAsia" w:ascii="微软雅黑" w:hAnsi="微软雅黑" w:eastAsia="微软雅黑" w:cs="宋体"/>
          <w:b/>
          <w:bCs/>
          <w:color w:val="000000"/>
          <w:kern w:val="0"/>
          <w:sz w:val="27"/>
          <w:szCs w:val="27"/>
        </w:rPr>
        <w:t> 附件：</w:t>
      </w:r>
    </w:p>
    <w:p>
      <w:pPr>
        <w:widowControl/>
        <w:jc w:val="center"/>
        <w:rPr>
          <w:rFonts w:hint="eastAsia" w:ascii="微软雅黑" w:hAnsi="微软雅黑" w:eastAsia="微软雅黑" w:cs="宋体"/>
          <w:color w:val="000000"/>
          <w:kern w:val="0"/>
          <w:sz w:val="27"/>
          <w:szCs w:val="27"/>
        </w:rPr>
      </w:pPr>
      <w:r>
        <w:rPr>
          <w:rFonts w:hint="eastAsia" w:ascii="微软雅黑" w:hAnsi="微软雅黑" w:eastAsia="微软雅黑" w:cs="宋体"/>
          <w:b/>
          <w:bCs/>
          <w:color w:val="FF0000"/>
          <w:kern w:val="0"/>
          <w:sz w:val="27"/>
          <w:szCs w:val="27"/>
        </w:rPr>
        <w:t>2020年省级优秀小课题论文评比结果汇总表</w:t>
      </w:r>
      <w:r>
        <w:rPr>
          <w:rFonts w:hint="eastAsia" w:ascii="微软雅黑" w:hAnsi="微软雅黑" w:eastAsia="微软雅黑" w:cs="宋体"/>
          <w:color w:val="FF0000"/>
          <w:kern w:val="0"/>
          <w:sz w:val="27"/>
          <w:szCs w:val="27"/>
        </w:rPr>
        <w:t> </w:t>
      </w:r>
    </w:p>
    <w:tbl>
      <w:tblPr>
        <w:tblStyle w:val="5"/>
        <w:tblW w:w="8522" w:type="dxa"/>
        <w:jc w:val="center"/>
        <w:tblInd w:w="0" w:type="dxa"/>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
      <w:tblGrid>
        <w:gridCol w:w="505"/>
        <w:gridCol w:w="4134"/>
        <w:gridCol w:w="1305"/>
        <w:gridCol w:w="1635"/>
        <w:gridCol w:w="943"/>
      </w:tblGrid>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tblHeader/>
          <w:jc w:val="center"/>
        </w:trPr>
        <w:tc>
          <w:tcPr>
            <w:tcW w:w="505" w:type="dxa"/>
            <w:tcBorders>
              <w:top w:val="single" w:color="auto" w:sz="8" w:space="0"/>
              <w:left w:val="single" w:color="auto" w:sz="8" w:space="0"/>
              <w:bottom w:val="single" w:color="auto" w:sz="8" w:space="0"/>
              <w:right w:val="single" w:color="auto" w:sz="8" w:space="0"/>
            </w:tcBorders>
            <w:shd w:val="clear" w:color="auto" w:fill="FFF2CC"/>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序号</w:t>
            </w:r>
          </w:p>
        </w:tc>
        <w:tc>
          <w:tcPr>
            <w:tcW w:w="4134" w:type="dxa"/>
            <w:tcBorders>
              <w:top w:val="single" w:color="auto" w:sz="8" w:space="0"/>
              <w:left w:val="nil"/>
              <w:bottom w:val="single" w:color="auto" w:sz="8" w:space="0"/>
              <w:right w:val="single" w:color="auto" w:sz="8" w:space="0"/>
            </w:tcBorders>
            <w:shd w:val="clear" w:color="auto" w:fill="FFF2CC"/>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论文题目</w:t>
            </w:r>
          </w:p>
        </w:tc>
        <w:tc>
          <w:tcPr>
            <w:tcW w:w="1305" w:type="dxa"/>
            <w:tcBorders>
              <w:top w:val="single" w:color="auto" w:sz="8" w:space="0"/>
              <w:left w:val="nil"/>
              <w:bottom w:val="single" w:color="auto" w:sz="8" w:space="0"/>
              <w:right w:val="single" w:color="auto" w:sz="8" w:space="0"/>
            </w:tcBorders>
            <w:shd w:val="clear" w:color="auto" w:fill="FFF2CC"/>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作者</w:t>
            </w:r>
          </w:p>
        </w:tc>
        <w:tc>
          <w:tcPr>
            <w:tcW w:w="1635" w:type="dxa"/>
            <w:tcBorders>
              <w:top w:val="single" w:color="auto" w:sz="8" w:space="0"/>
              <w:left w:val="nil"/>
              <w:bottom w:val="single" w:color="auto" w:sz="8" w:space="0"/>
              <w:right w:val="single" w:color="auto" w:sz="8" w:space="0"/>
            </w:tcBorders>
            <w:shd w:val="clear" w:color="auto" w:fill="FFF2CC"/>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所在单位</w:t>
            </w:r>
          </w:p>
        </w:tc>
        <w:tc>
          <w:tcPr>
            <w:tcW w:w="943" w:type="dxa"/>
            <w:tcBorders>
              <w:top w:val="single" w:color="auto" w:sz="8" w:space="0"/>
              <w:left w:val="nil"/>
              <w:bottom w:val="single" w:color="auto" w:sz="8" w:space="0"/>
              <w:right w:val="single" w:color="auto" w:sz="8" w:space="0"/>
            </w:tcBorders>
            <w:shd w:val="clear" w:color="auto" w:fill="FFF2CC"/>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奖项</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“六步进阶思维”实验证据推理模式教学研究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郑媚、吴虹</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海口市第四中学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一等奖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2</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思维导图在高考作文审题中的实践运用例谈</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龙敏</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海口市琼山华侨中学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一等奖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3</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信息技术支撑下的小学语文问题式阅读教学策略新探</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肖笛</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海口市教育研究培训院</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一等奖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4</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浅谈小学中段学生数学阅读兴趣的培养策略</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罗文媚</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海口市第二十七小学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一等奖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5</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英语绘本——为小学英语课堂插上美丽的翅膀</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吴京泽</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海口市美兰实验小学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一等奖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6</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绘本阅读中提取小学高段习作素材的实践研究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叶星</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海口市龙峰实验小学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一等奖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7</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初中生物课堂有效提问的策略探究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陈碧妮</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海南省农垦中学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一等奖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8</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论海南黎族民歌在幼儿园音乐活动中的教育传承探索</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张连珍</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中国人民武装警察部队海南省总队幼儿园</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一等奖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9</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利用万能工匠开展幼儿园户外建构游戏初论</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舒芳</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海南省机关幼儿园</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一等奖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10</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浅谈词块在高中英语写作教学中的运用</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许丽园、李俏</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华中师大-附中屯昌思源实验中学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一等奖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11</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B-SLIM教学模式在高中英语口语教学中的应用实践</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李俏</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华中师大-附中屯昌思源实验中学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一等奖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12</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同屏技术“玩转”美术课堂——谈同屏技术在初中美术教学的应用</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关洁玲、谢镇福</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屯昌县红旗中学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一等奖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13</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高中英语读后续写审题量表研制的行动研究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杨绪志</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海南省文昌市华侨中学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一等奖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14</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性格解析穿引“四头”育人</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刘丽芳</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海南省文昌中学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一等奖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15</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基于核心素养的高中信息技术项目式学习实践研究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傅蕾丝、韦馨雄</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海南省定安县定安中学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一等奖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16</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乡镇幼儿园乡土资源融入环境创设的有效探究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魏海丹</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白沙黎族自治县细水乡中心幼儿园</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17</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基于单元的高中英语差异化作业编制研究初探—以昌江矿区中学为例</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屈莎莎、王晓纯</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昌江黎族自治县矿区中学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18</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浅谈中国画课程在高中课堂教学中策略的创新</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林艾艾、唐雪真</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海南澄迈思源高级中学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19</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农村地区学生数学表达能力的培养策略</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韦崇裕</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海南澄迈思源高级中学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20</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基于手指谣的幼儿行为常规培养的方法与实践</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周嵌</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定安县定城镇中心幼儿园</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21</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如何运用人物细节描写手法让作文灵动</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陈满</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海口市琼山华侨中学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22</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幼儿沙水自主游戏的实践与思考</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许静</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海口市秀峰幼儿园</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23</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基于“数学游戏”的初中数学校本课程开发研究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闫书英</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海口市五源河学校</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24</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基于任务驱动下整本书导读单的设计研究—以小学中年级整本书阅读为例</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刘清杰</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海口市美兰实验小学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25</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小组合作在初中生物实验教学中的应用研究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王娇、蔡文静</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海口市琼山中学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26</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小学美术超轻粘土校本课程的开发与实施研究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张玉秀</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海口市海景学校</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27</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小场地开展课外体育活动的策略</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潘德波</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海口市玉沙实验学校</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28</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回归生活，增强实效</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陈文华、周霞</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海口市第十-小学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29</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听说助写，互惠双赢</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周淑红</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乐东县华东师范大学第二附属中学乐东黄流中学中学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30</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正面管教在初中学生情绪管理中的运用</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杨宗菊</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华东师范大学第二附属中学乐东黄流中学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31</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“互联网+”时代基于思维导图微课下高中数学单元复习课教学案例研究——以高中数学必修第二册第九章统计为例</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倪小娣</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临高县临高中学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32</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高中山水画课堂教学策略浅析</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张静静</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西南大学临高实验中学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33</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辩论式教学法能让小学语文课堂妙趣横生</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王小女</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临高县第-小学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34</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基于思维导图的高中生物概念教学</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许弯弯、周晶晶</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临高县临高中学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35</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基于部编教材探究初中文言文群文教学策略——以《答谢中书书》《与朱元思书》为例</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符丁太</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西南大学临高实验中学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36</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提高初中生地理绘图能力的策略研究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吴家川</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临高县马袅学校</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37</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陵水县高中地理实验教学开展情况调查研究——以《地球的运动》为例</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王亮亮</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陵水黎族自治县陵水中学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38</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借助经验，类比迁移，探究计算方法</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张静晓</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陵水黎族自治县实验小学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39</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“人与社会”主题语境下的高中英语词汇教学探究——以人教版选修6Unit1Art词汇课为例</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肖樱子</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陵水黎族自治县陵水中学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40</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高三地理综合分析题的教学研究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冯奇</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琼海市嘉积第二中学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41</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几种典型模型的摩擦力难点突破分析</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梁燕</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琼海市嘉积中学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42</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高中生地理实践力培养研究—以会山黎苗特色饮食调查为例</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姚汝庆</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琼海市嘉积中学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43</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《乡土中国》整本书阅读指导策略的实践研究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许丽敏、雷斐斐</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琼海市嘉积第二中学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44</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基于核心素养的课堂提问设计的实践探索</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刘刚</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海南琼中思源实验学校</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45</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海南农村初中“数学0基础”教学的实践探索</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段有新</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三亚市荔枝沟初级中学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46</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小班幼儿用勺能力的实践与探究——以三亚市第五幼儿园为例</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黎丹嫔</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三亚市第五幼儿园</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47</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乡村小班幼儿如厕卫生习惯养成方法研究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李丽</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三亚市育才中心幼儿园</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48</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小学数学教学中有效利用错误资源的探究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徐红桃</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中国人民解放军91458部队八-小学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49</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儿歌活动促进乡村中班幼儿语言表达能力发展策略研究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吴贻婵</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三亚市育才中心幼儿园</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50</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培养小班幼儿良好的用餐习惯有效策略研究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欧哲柳</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三亚市第-幼儿园</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51</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落实计算思维培养的教学探索与思考</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王连诚、卢裕满</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海南中学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52</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加深对教材理解整体提升化学核心素养的构建和发展---人教版《化学反应原理》的再认识</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张小兵</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海南省农垦实验中学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53</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三大策略助推物理实验教学——以《实验：研究平抛运动特点》教学为例</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朱暑波</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海南省农垦中学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54</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我省高中生物教学运用案例教学法的调查研究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王梅香</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华中师大-附中屯昌思源实验中学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55</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“阳光课堂”教学模式在高年级语文课堂中的运用与探究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曾琼容</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屯昌县向阳中心小学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56</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基于活动问题链的高中英语写作5E教学模式初探</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曾令娜、朱路长</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华中师大-附中屯昌思源实验中学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57</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通过有效互动提升高中生数学课堂的专注度</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杨昌平</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海南省文昌中学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58</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时政记录在培养高-学生政治认同中的作用——基于时政记录的文本分析</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黄蕾、黄少萍</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海南省文昌市华侨中学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59</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基于情境创设的《生态系统的组成》重要概念建构</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廖涌权、何贵香</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五指山市五指山中学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二等奖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60</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因地制宜，打造乡镇幼儿园户外支持性游戏环境</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徐丹丹</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白沙黎族自治县邦溪镇中心幼儿园</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61</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浅谈幼儿园小班自主游戏材料收拾常规的培养</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蔡妙</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海南省白沙黎族自治县幼儿园</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62</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浅谈如何提升民族地区高中生物理学习的兴趣</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汪月东</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保亭黎族苗族自治县保亭中学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63</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源头活水清自来</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邱云婷</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保亭黎族苗族自治县保亭中学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64</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关于高中政治大题答题能力校本实践研究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翟世民、张海荣</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保亭黎族苗族自治县保亭中学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65</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通过戏剧向学生教授英语词汇的研究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李洪晶、郭丽萍</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儋州市思源高级中学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66</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高中数学互动式作业批改模式探究和实践</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李庆</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海南省定安县定安中学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67</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论高中生物理模型建构能力的培养</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岑香珍</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定安县城南中学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68</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浅议在初中历史课堂教学中如何培育史料实证素养</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陈山林</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西南大学东方实验中学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69</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重构初中数学课堂启发式教学的实践教学研究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张军鹏</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东方市第二思源实验学校</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70</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基于内驱力培养的小学整本书阅读策略探究——以《中国民间故事》阅读为例</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曾桂琴</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海口市白龙中心小学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71</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根据构字规律巧妙识记汉字</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王丽萍</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海口市海景学校</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72</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“互联网＋-起中学”信息技术助力英语教与学</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黄振华</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海口市海瑞学校</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73</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强化活动体验，增强德育实效</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陈文华</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海口市第十-小学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74</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运用片段训练激发中段学生的写作兴趣</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叶颜</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海口市龙岐小学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75</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运用思维导图提升小学六年级复习效率的策略研究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刘曼玉</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海口市英才小学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76</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小学英语绘本阅读多元化教学策略的研究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牛淑琴</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海口市美苑小学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77</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小学中低段传承书法文化策略初探</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刘菊兰</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海口市五源河学校</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78</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高三立体几何复习中三种数学语言的应用</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符郁玲、李朝戟</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海口实验中学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79</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多种形式，多而不乱</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赵海珍</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海口市英才小学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80</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废旧报纸在幼儿园环境创设中的开发与利用——以抱由镇中心幼儿园为例</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陈碧</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乐东黎族自治县抱由镇中心幼儿园</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81</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初三英语词汇复习策略之探究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陈珍</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华东师范大学第二附属中学乐东黄流中学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82</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基于学科核心素养下的初中英语写作教学设计探究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卢燕</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乐东黎族自治县乐东中学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83</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黎族学生在初中物理实验中的行为问题与解决策略</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刘俊、孙建臣</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乐东黎族自治县思源实验学校</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84</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浅谈农村初中英语音标教学的现状与实施策略</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陈文燕</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华东师范大学第二附属中学乐东黄流中学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85</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浅谈“学与练”对初中生语文写作能力的有效提高</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姚波</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华东师范大学第二附属中学乐东黄流中学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86</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提高高三学生物理阅读能力策略研究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屈铭煜</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华东师范大学第二附属中学乐东黄流中学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87</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逆向教学培养农村高中生词汇学习能力</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王劲夫</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华东师范大学第二附属中学乐东黄流中学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88</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浅谈农村初中生数学学习的现状和策略</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曹勇、宓楠</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华东师范大学第二附属中学乐东黄流中学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89</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乐东中学高-新生词汇教学探究课--人教版新教材Book1 Welcome Unit Vocabulary Learning教学过程与反思</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曾春宝</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乐东黎族自治县乐东中学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90</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思维导图在词汇教学中应用研究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王劲夫</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华东师范大学第二附属中学乐东黄流中学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91</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农村高中数学阅读能力之数学语言能力培养的策略</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乔楠</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华东师范大学第二附属中学乐东黄流中学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92</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高中化学实验教学培养学生证据推理能力策略</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许送引</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临高县临高中学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93</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对高中美术校园风景写生的教学探索</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全少莉</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临高县临高中学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94</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基于活动型课程的高中政治辨析式教学探究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黄秋菊</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临高县临高中学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95</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以古诗词为支点，撬动想象的杠杆</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王小芬</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临高县澜江学校</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96</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图示在高中化学教学中的运用</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刘柳</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西南大学临高实验中学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97</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信息技术环境下区域认知素养的培养策略</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邵桂妹</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临高县临高中学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98</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高中政治活动型课堂学生关键能力的培养</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戴雪梅</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临高县临高中学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99</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论背诵对高中英语写作的意义和实施</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郑志选</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西南大学临高实验中学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100</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丰富学生写作素材的几点做法</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符朱凤</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海南临高第二思源实验学校</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101</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如何提高高中数学作业的有效性研究及课例分析</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刘春换、吴金竹</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临高县临高中学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102</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浅谈基于思维导图微课视角下的单元复习策略——以《集合与常用逻辑用语》为例</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倪小娣</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临高县临高中学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103</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会观察，善思考——提高学生作文能力的指导实践</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周升跃</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临高县新盈中学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104</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高中语文同伴互助实践研究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龙继生、王新建</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临高县第二中学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105</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新高考改革下海南地理综合题答题探究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杨元、叶奕林</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中央民族大学附属中学海南陵水分校</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106</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基于班级文化建设视角下“双班”管理的实践研究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郝厚先、李雯娜</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海南陵水思源实验学校</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107</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思维导图在高中英语记叙文阅读教学中的应用</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高婵</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陵水黎族自治县陵水中学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108</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例谈数学方法在初中物理电学的应用</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黄彩虹</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中央民族大学附属中学海南陵水分校</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109</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陵水中学高中生法治意识素养培育的叙事研究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李永怀周</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陵水黎族自治县陵水中学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110</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初中课堂合作学习低效成因及提效对策研究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杨全芳、张梅</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琼海市嘉积中学分校</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111</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初中英语阅读教学中思维逻辑能力的培养策略探究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王昌瑜</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琼中思源实验学校</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112</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也谈校长之角色定位</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范效彬、王发平</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琼中思源实验学校</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113</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让习作插上思维导图的翅膀</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黄灿</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中国人民解放军91458部队八-小学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114</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班队活动对学生行为习惯的影响研究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李华</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中国人民解放军91458部队八-小学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115</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小学高年段习作评改策略研究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沈萍</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三亚市第九小学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116</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思维品质在高中语法教学中的探究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张卓汉、张雅</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三亚市第四中学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117</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例谈数形结合思想在小学数学教学中的应用</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董灵雅</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三亚市吉阳区月川小学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118</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谈幼儿语言表达能力的培养</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杨雁、高小卜</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三亚市第三幼儿园</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119</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如何指导学生养成良好的文言文学习习惯</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胡斯达</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三亚市第-中学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120</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初中英语考纲词汇分阶段记忆改进学习行为</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陈传玲</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三亚市荔枝沟初级中学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121</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核心素养下绘制过程图在高中生物教学中的作用</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罗许敏</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中国人民解放军91458部队八-中学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122</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小学语文教学中朗读的重要性及指导对策</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孟令琦、王艳军</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中国人民解放军91458部队八-小学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123</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六位-体的思维导图巧用于初中英语模块复习</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黄世婷</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海南中学三亚学校（三亚市实验中学）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124</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微视频指导下的初中英语阅读策略研究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陈传玲、梁海荻</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三亚市荔枝沟初级中学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125</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品位黎族文化，善学路上更精彩</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李春花</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海南中学三亚学校</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126</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幼儿园大班自主创意剪纸教学活动的初探</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虞英</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屯昌县幼儿园</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127</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思维导图在高中生物教学中的应用研究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蔡萸、覃文彦</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华中师大-附中屯昌思源实验中学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128</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例谈纠正低年级学生错别字的策略</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王培英</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屯昌县教育研究培训中心</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129</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STEAM教育理念下小学科技校本课教学模式探索</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王莹</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常州市武进区实验小学教育集团屯昌实验小学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130</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小学古诗词教学存在的问题及策略研究</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王敏、韩雨露</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屯昌县屯城镇屯昌小学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131</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浅谈如何提高小学生的阅读速度</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吴小花</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屯昌县向阳中心小学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132</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农村小学留守儿童阅读习惯的培养</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王兰荣</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海南屯昌思源实验学校</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133</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如何有效落实重要概念的课堂教学</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李晓燕</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华中师大-附中屯昌思源实验中学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134</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如何提高学生在小学语文中的质疑能力</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许海红、王燕</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屯昌县屯城镇屯昌小学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135</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提高学困生物理中考复习效率的方法</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陈芳</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屯昌县红旗中学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136</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通过英语课外分级阅读培养学生读后续写能力</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王英才</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屯昌县屯昌中学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137</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探讨海南高考地理《环境保护》复习策略</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林娇、蔡丽花</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万宁市万宁中学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138</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明确主题，有效教学</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曹红梅</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万宁市万宁中学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139</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立足散文画意领悟文本诗情——高中语文散文教学策略探析</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韩云霞</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文昌市教育研究培训中心</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140</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整本书阅读大有作为</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唐丽凤</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海南省文昌中学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141</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聚焦课堂，变被动为主动，化接受为探求</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徐敏</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文昌市树芳小学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0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b/>
                <w:bCs/>
                <w:kern w:val="0"/>
                <w:sz w:val="18"/>
                <w:szCs w:val="18"/>
              </w:rPr>
              <w:t>142</w:t>
            </w:r>
          </w:p>
        </w:tc>
        <w:tc>
          <w:tcPr>
            <w:tcW w:w="41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基于生物学科核心素养的单元教学设计研究—以“细胞的能量供应和利用”为例</w:t>
            </w:r>
          </w:p>
        </w:tc>
        <w:tc>
          <w:tcPr>
            <w:tcW w:w="13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何贵香、廖涌权</w:t>
            </w:r>
          </w:p>
        </w:tc>
        <w:tc>
          <w:tcPr>
            <w:tcW w:w="16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五指山市五指山中学</w:t>
            </w:r>
          </w:p>
        </w:tc>
        <w:tc>
          <w:tcPr>
            <w:tcW w:w="9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宋体" w:hAnsi="宋体" w:eastAsia="宋体" w:cs="宋体"/>
                <w:kern w:val="0"/>
                <w:sz w:val="24"/>
                <w:szCs w:val="24"/>
              </w:rPr>
            </w:pPr>
            <w:r>
              <w:rPr>
                <w:rFonts w:hint="eastAsia" w:ascii="宋体" w:hAnsi="宋体" w:eastAsia="宋体" w:cs="宋体"/>
                <w:kern w:val="0"/>
                <w:sz w:val="18"/>
                <w:szCs w:val="18"/>
              </w:rPr>
              <w:t>三等奖</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FF9"/>
    <w:rsid w:val="000640AD"/>
    <w:rsid w:val="00BA2FF9"/>
    <w:rsid w:val="48631227"/>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4">
    <w:name w:val="Strong"/>
    <w:basedOn w:val="3"/>
    <w:qFormat/>
    <w:uiPriority w:val="22"/>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GTKJ</Company>
  <Pages>9</Pages>
  <Words>1023</Words>
  <Characters>5832</Characters>
  <Lines>48</Lines>
  <Paragraphs>13</Paragraphs>
  <TotalTime>0</TotalTime>
  <ScaleCrop>false</ScaleCrop>
  <LinksUpToDate>false</LinksUpToDate>
  <CharactersWithSpaces>6842</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2020-12-21T08:44:00Z</dcterms:created>
  <dc:creator>USER</dc:creator>
  <cp:lastModifiedBy>陈求丽</cp:lastModifiedBy>
  <dcterms:modified xsi:type="dcterms:W3CDTF">2020-12-21T08:49:33Z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